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版本号：JZDCG-2026-01920260324001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小麦“一喷三防”服务项目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JZDCG-2026-019</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小麦“一喷三防”服务项目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小麦“一喷三防”服务项目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本项目采购内容为小麦“一喷三防”服务项目。主要内容为在小麦穗期一次喷施杀虫剂、杀菌剂、植物生长调节剂、叶面肥等，达到增强小麦抗逆性、防病治虫、增粒重的目的，共计约5.2万亩。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采购包1（小麦“一喷三防”服务项目）：属于专门面向中小企业采购。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3、税收缴纳证明：自2025年09月01日以来已缴存的至少一个月的纳税证明或完税证明，纳税证明或完税证明上应有代收机构或税务机关的公章或业务专用章。依法免税的投标人应提供相关文件证明；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18691319995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采购包1：1,081,700.00元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本项目采购内容为小麦“一喷三防”服务项目。主要内容为在小麦穗期一次喷施杀虫剂、杀菌剂、生长调节剂、叶面肥等，达到增强小麦抗逆性、防病治虫、增粒重的目的，共计约5.2万亩。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1,081,700.00</w:t>
      </w:r>
    </w:p>
    <w:p>
      <w:pPr>
        <w:pStyle w:val="null3"/>
      </w:pPr>
      <w:r>
        <w:rPr>
          <w:rFonts w:ascii="仿宋_GB2312" w:hAnsi="仿宋_GB2312" w:cs="仿宋_GB2312" w:eastAsia="仿宋_GB2312"/>
        </w:rPr>
        <w:t>采购包最高限价（元）: 21.00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小麦一喷三防服务项目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1,081,700.00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小麦一喷三防服务项目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1.采购内容</w:t>
            </w:r>
          </w:p>
          <w:p>
            <w:pPr>
              <w:pStyle w:val="null3"/>
            </w:pPr>
            <w:r>
              <w:rPr>
                <w:rFonts w:ascii="仿宋_GB2312" w:hAnsi="仿宋_GB2312" w:cs="仿宋_GB2312" w:eastAsia="仿宋_GB2312"/>
              </w:rPr>
              <w:t>（1）杀虫剂：30%联苯吡虫啉，剂型为悬浮剂，亩用量10g/亩；</w:t>
            </w:r>
          </w:p>
          <w:p>
            <w:pPr>
              <w:pStyle w:val="null3"/>
            </w:pPr>
            <w:r>
              <w:rPr>
                <w:rFonts w:ascii="仿宋_GB2312" w:hAnsi="仿宋_GB2312" w:cs="仿宋_GB2312" w:eastAsia="仿宋_GB2312"/>
              </w:rPr>
              <w:t>（2）杀菌剂：30%苯甲丙环唑，剂型为悬浮剂，亩用量30g/亩；</w:t>
            </w:r>
          </w:p>
          <w:p>
            <w:pPr>
              <w:pStyle w:val="null3"/>
            </w:pPr>
            <w:r>
              <w:rPr>
                <w:rFonts w:ascii="仿宋_GB2312" w:hAnsi="仿宋_GB2312" w:cs="仿宋_GB2312" w:eastAsia="仿宋_GB2312"/>
              </w:rPr>
              <w:t>（3）植物生长调节剂：0.01%芸苔素，剂型为水剂，亩用量16g/亩；</w:t>
            </w:r>
          </w:p>
          <w:p>
            <w:pPr>
              <w:pStyle w:val="null3"/>
            </w:pPr>
            <w:r>
              <w:rPr>
                <w:rFonts w:ascii="仿宋_GB2312" w:hAnsi="仿宋_GB2312" w:cs="仿宋_GB2312" w:eastAsia="仿宋_GB2312"/>
              </w:rPr>
              <w:t>（4）叶面肥：98%磷酸二氢钾，剂型为可溶粉剂，亩用量100g/亩；</w:t>
            </w:r>
          </w:p>
          <w:p>
            <w:pPr>
              <w:pStyle w:val="null3"/>
            </w:pPr>
            <w:r>
              <w:rPr>
                <w:rFonts w:ascii="仿宋_GB2312" w:hAnsi="仿宋_GB2312" w:cs="仿宋_GB2312" w:eastAsia="仿宋_GB2312"/>
              </w:rPr>
              <w:t>（5）施药服务：无人机喷施全流程作业；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2.服务要求</w:t>
            </w:r>
          </w:p>
          <w:p>
            <w:pPr>
              <w:pStyle w:val="null3"/>
            </w:pPr>
            <w:r>
              <w:rPr>
                <w:rFonts w:ascii="仿宋_GB2312" w:hAnsi="仿宋_GB2312" w:cs="仿宋_GB2312" w:eastAsia="仿宋_GB2312"/>
              </w:rPr>
              <w:t>（1）本次小麦“一喷三防”服务约5.2万亩，服务应严格按照省市对小麦“一喷三防”的相关要求执行，必须在防治的关键时期完成防治任务，重大病虫害防控处置率达到100%，综合防治效果达到85%以上，危害损失率控制在5%以内。</w:t>
            </w:r>
          </w:p>
          <w:p>
            <w:pPr>
              <w:pStyle w:val="null3"/>
            </w:pPr>
            <w:r>
              <w:rPr>
                <w:rFonts w:ascii="仿宋_GB2312" w:hAnsi="仿宋_GB2312" w:cs="仿宋_GB2312" w:eastAsia="仿宋_GB2312"/>
              </w:rPr>
              <w:t>（2）应合理选择药剂、配备人员及施药机械</w:t>
            </w:r>
          </w:p>
          <w:p>
            <w:pPr>
              <w:pStyle w:val="null3"/>
            </w:pPr>
            <w:r>
              <w:rPr>
                <w:rFonts w:ascii="仿宋_GB2312" w:hAnsi="仿宋_GB2312" w:cs="仿宋_GB2312" w:eastAsia="仿宋_GB2312"/>
              </w:rPr>
              <w:t>①药剂应符合国家标准，农药生产许可证或农药生产批准文件、农药登记证、农药产品标准证三证齐全，高效低毒、安全环保。</w:t>
            </w:r>
          </w:p>
          <w:p>
            <w:pPr>
              <w:pStyle w:val="null3"/>
            </w:pPr>
            <w:r>
              <w:rPr>
                <w:rFonts w:ascii="仿宋_GB2312" w:hAnsi="仿宋_GB2312" w:cs="仿宋_GB2312" w:eastAsia="仿宋_GB2312"/>
              </w:rPr>
              <w:t>②应根据此次小麦“一喷三防”服务内容，时间安排，科学、合理配置人员，并做好人员实施前培训工作，确保服务按期完成。</w:t>
            </w:r>
          </w:p>
          <w:p>
            <w:pPr>
              <w:pStyle w:val="null3"/>
            </w:pPr>
            <w:r>
              <w:rPr>
                <w:rFonts w:ascii="仿宋_GB2312" w:hAnsi="仿宋_GB2312" w:cs="仿宋_GB2312" w:eastAsia="仿宋_GB2312"/>
              </w:rPr>
              <w:t>③应根据作业区地形地势、房屋、林木及农作物分布，结合防治作业效果等选择适宜的农业植保无人机进行喷洒药物防治作业。</w:t>
            </w:r>
          </w:p>
          <w:p>
            <w:pPr>
              <w:pStyle w:val="null3"/>
              <w:jc w:val="both"/>
            </w:pPr>
            <w:r>
              <w:rPr>
                <w:rFonts w:ascii="仿宋_GB2312" w:hAnsi="仿宋_GB2312" w:cs="仿宋_GB2312" w:eastAsia="仿宋_GB2312"/>
              </w:rPr>
              <w:t>（3）无人机施药服务要求</w:t>
            </w:r>
          </w:p>
          <w:p>
            <w:pPr>
              <w:pStyle w:val="null3"/>
              <w:jc w:val="both"/>
            </w:pPr>
            <w:r>
              <w:rPr>
                <w:rFonts w:ascii="仿宋_GB2312" w:hAnsi="仿宋_GB2312" w:cs="仿宋_GB2312" w:eastAsia="仿宋_GB2312"/>
              </w:rPr>
              <w:t>①施药液量：1.5-3升/亩；</w:t>
            </w:r>
          </w:p>
          <w:p>
            <w:pPr>
              <w:pStyle w:val="null3"/>
              <w:jc w:val="both"/>
            </w:pPr>
            <w:r>
              <w:rPr>
                <w:rFonts w:ascii="仿宋_GB2312" w:hAnsi="仿宋_GB2312" w:cs="仿宋_GB2312" w:eastAsia="仿宋_GB2312"/>
              </w:rPr>
              <w:t>②飞行速度：3-5米/秒；</w:t>
            </w:r>
          </w:p>
          <w:p>
            <w:pPr>
              <w:pStyle w:val="null3"/>
            </w:pPr>
            <w:r>
              <w:rPr>
                <w:rFonts w:ascii="仿宋_GB2312" w:hAnsi="仿宋_GB2312" w:cs="仿宋_GB2312" w:eastAsia="仿宋_GB2312"/>
              </w:rPr>
              <w:t>③飞行高度：距离小麦冠层的高度1-3米；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1、本项目采购预算1081700.00元，最高限价21.00元/亩（包含本项目要求的杀虫剂、杀菌剂、植物生长调节剂、叶面肥、无人机喷施服务及供应商为完成本服务所包含的其他所有费用）；</w:t>
            </w:r>
          </w:p>
          <w:p>
            <w:pPr>
              <w:pStyle w:val="null3"/>
            </w:pPr>
            <w:r>
              <w:rPr>
                <w:rFonts w:ascii="仿宋_GB2312" w:hAnsi="仿宋_GB2312" w:cs="仿宋_GB2312" w:eastAsia="仿宋_GB2312"/>
              </w:rPr>
              <w:t>2、本项目报价为单价，所有报价不得超过最高限价21.00元/亩；</w:t>
            </w:r>
          </w:p>
          <w:p>
            <w:pPr>
              <w:pStyle w:val="null3"/>
            </w:pPr>
            <w:r>
              <w:rPr>
                <w:rFonts w:ascii="仿宋_GB2312" w:hAnsi="仿宋_GB2312" w:cs="仿宋_GB2312" w:eastAsia="仿宋_GB2312"/>
              </w:rPr>
              <w:t>3、按照《陕西省财政厅关于在政府采购活动中实施本国产品标准及相关政策的通知》陕财办采〔2026〕2号文件的要求，对于落实本国产品的优惠政策如下：</w:t>
            </w:r>
          </w:p>
          <w:p>
            <w:pPr>
              <w:pStyle w:val="null3"/>
            </w:pPr>
            <w:r>
              <w:rPr>
                <w:rFonts w:ascii="仿宋_GB2312" w:hAnsi="仿宋_GB2312" w:cs="仿宋_GB2312" w:eastAsia="仿宋_GB2312"/>
              </w:rPr>
              <w:t>（1）对于仅有本国产品参与竞争的政府采购项目，本国产品不享受价格扣除评审优惠。</w:t>
            </w:r>
          </w:p>
          <w:p>
            <w:pPr>
              <w:pStyle w:val="null3"/>
            </w:pPr>
            <w:r>
              <w:rPr>
                <w:rFonts w:ascii="仿宋_GB2312" w:hAnsi="仿宋_GB2312" w:cs="仿宋_GB2312" w:eastAsia="仿宋_GB2312"/>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rPr>
              <w:t>（4）价格扣除以供应商提供的“关于符合本国产品标准的声明函”为准。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按要求完成防治工作后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最终防治成果经验收合格，无争议问题后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自2025年09月01日以来已缴存的至少一个月的纳税证明或完税证明，纳税证明或完税证明上应有代收机构或税务机关的公章或业务专用章。依法免税的投标人应提供相关文件证明；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服务响应偏离表 商务响应偏离表 一般资格审查证明材料 标的清单 特殊资格审查资料 关于符合本国产品标准的声明函 类似业绩一览表 响应函 服务方案说明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服务响应偏离表 商务响应偏离表 中小企业声明函 报价表 服务方案说明 响应文件封面 残疾人福利性单位声明函 一般资格审查证明材料 标的清单 特殊资格审查资料 关于符合本国产品标准的声明函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首次只能有一个有效报价，且不能超过本项目最高限价（单价）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标的清单 服务方案说明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服务响应偏离表 商务响应偏离表 一般资格审查证明材料 标的清单 特殊资格审查资料 报价表 响应函 服务方案说明 类似业绩一览表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供应商提供“技术参数与性能指标”中“杀虫剂、杀菌剂、植物生长调节剂、叶面肥”对应产品的合法来源渠道证明文件（供应商为代理商的提供包含但不限于：产品制造商授权或销售协议或代理协议或进货单等证明材料，供应商为制造商的提供产品为自己制造的证明材料），每提供一份合格的证明材料得1分，本项目最高得4分； 注：未提供合法来源渠道证明材料不得分。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 包含5项：①作业进度安排；②农药、肥料的运输；③无人机的选型及配置；④作业面的划分；⑤病虫害防治具体实施方案。 2、评审标准 （1）评审内容每项满分为4分，共20分； （2）评审内容每缺失一项扣4分，每项内容有下列任意瑕疵的扣0.4分（单项评审内容中有相同瑕疵不重复扣分），扣完为止；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 包含4项：①服务质量目标；②服务质量保障措施；③产品质量保障措施；④无人机作业质量保障措施； 2、评审标准 （1）评审内容每项满分为4分，共16分； （2）评审内容每缺失一项扣4分，每项内容有下列任意瑕疵的扣0.4分（单项评审内容中有相同瑕疵不重复扣分），扣完为止；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包含4项：①农药、肥料的用药、存储及使用安全；②环境污染预防措施；③无人机作业过程中安全保障措施；④作业过程中人员安全保障措施；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 包含3项：①人员整体配备情况；②岗位分工及职责；③ 服务人员岗前培训；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包含2项：①可能会出现的问题及处理措施；②应急响应时间； 2、评审标准 （1）评审内容每项满分为2分，共4分；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针对服务对象（农户）有关小麦病虫害防治的培训方案，包含2项：①培训目标及计划；②培训内容及方式；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效果评估</w:t>
            </w:r>
          </w:p>
        </w:tc>
        <w:tc>
          <w:tcPr>
            <w:tcW w:type="dxa" w:w="2492"/>
          </w:tcPr>
          <w:p>
            <w:pPr>
              <w:pStyle w:val="null3"/>
            </w:pPr>
            <w:r>
              <w:rPr>
                <w:rFonts w:ascii="仿宋_GB2312" w:hAnsi="仿宋_GB2312" w:cs="仿宋_GB2312" w:eastAsia="仿宋_GB2312"/>
              </w:rPr>
              <w:t>1、评审内容 针对最终喷施服务完成后的效果评估，包含3项：①评估内容及评估方式；②评估成果编制；③若效果不达标的补救措施；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详见附件：服务方案说明</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