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版本号：ZCSP-白水县-2026-00024-001.1B120260306001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仓颉庙文化景区提升规划设计(二次)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ZCSP-白水县-2026-00024-001.1B1</w:t>
      </w:r>
      <w:r>
        <w:br/>
      </w:r>
      <w:r>
        <w:br/>
      </w:r>
      <w:r>
        <w:br/>
      </w:r>
    </w:p>
    <w:p>
      <w:pPr>
        <w:pStyle w:val="null3"/>
        <w:jc w:val="center"/>
        <w:outlineLvl w:val="2"/>
      </w:pPr>
      <w:r>
        <w:rPr>
          <w:rFonts w:ascii="仿宋_GB2312" w:hAnsi="仿宋_GB2312" w:cs="仿宋_GB2312" w:eastAsia="仿宋_GB2312"/>
          <w:sz w:val="28"/>
          <w:b/>
        </w:rPr>
        <w:t>白水县仓颉文化旅游区管理委员会</w:t>
      </w:r>
    </w:p>
    <w:p>
      <w:pPr>
        <w:pStyle w:val="null3"/>
        <w:jc w:val="center"/>
        <w:outlineLvl w:val="2"/>
      </w:pPr>
      <w:r>
        <w:rPr>
          <w:rFonts w:ascii="仿宋_GB2312" w:hAnsi="仿宋_GB2312" w:cs="仿宋_GB2312" w:eastAsia="仿宋_GB2312"/>
          <w:sz w:val="28"/>
          <w:b/>
        </w:rPr>
        <w:t>鸿民国际工程（集团）有限公司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鸿民国际工程（集团）有限公司</w:t>
      </w:r>
      <w:r>
        <w:rPr>
          <w:rFonts w:ascii="仿宋_GB2312" w:hAnsi="仿宋_GB2312" w:cs="仿宋_GB2312" w:eastAsia="仿宋_GB2312"/>
        </w:rPr>
        <w:t>（以下简称“代理机构”）受</w:t>
      </w:r>
      <w:r>
        <w:rPr>
          <w:rFonts w:ascii="仿宋_GB2312" w:hAnsi="仿宋_GB2312" w:cs="仿宋_GB2312" w:eastAsia="仿宋_GB2312"/>
        </w:rPr>
        <w:t>白水县仓颉文化旅游区管理委员会</w:t>
      </w:r>
      <w:r>
        <w:rPr>
          <w:rFonts w:ascii="仿宋_GB2312" w:hAnsi="仿宋_GB2312" w:cs="仿宋_GB2312" w:eastAsia="仿宋_GB2312"/>
        </w:rPr>
        <w:t>委托，拟对</w:t>
      </w:r>
      <w:r>
        <w:rPr>
          <w:rFonts w:ascii="仿宋_GB2312" w:hAnsi="仿宋_GB2312" w:cs="仿宋_GB2312" w:eastAsia="仿宋_GB2312"/>
        </w:rPr>
        <w:t>仓颉庙文化景区提升规划设计(二次)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ZCSP-白水县-2026-00024-001.1B1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仓颉庙文化景区提升规划设计(二次)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项目背景与目标：为深入贯彻落实国家关于文化旅游融合发展的战略部署，推动白水县全域旅游高质量发展，进一步提升仓颉庙文化景区的文化内涵、服务品质与市场竞争力，特开展本次景区提升规划设计工作。项目旨在通过对景区文化深度挖掘、空间布局优化、业态创新升级、场景体验营造等方面的系统规划，实现景区品质化、内涵化、现代化升级，增强景区吸引力与综合效益。 2.采购内容：仓颉庙文化景区提升规划设计。主要工作内容包括但不限于：政策解读、文化挖掘与阐释、客群需求研究、发展定位提升、空间布局优化、文旅业态创新、重点地块概念设计、文化场景营造、旅游服务设施规划、环境保护与可持续发展规划、分期实施建议与运营策略等。成果形式为完整的规划文案和相应图纸。 3.分包情况：本项目共划分为1个合同包。 4.合同履行期限：自合同签订之日起90日历天内完成全部规划设计工作并提交符合要求的最终成果。 5.项目实施地点：白水县仓颉庙文化景区。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采购包1（仓颉庙文化景区提升规划设计）：属于专门面向中小企业采购。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代表身份：法定代表人参加磋商的，须提供本人身份证复印件（附在资格证明文件中）；法定代表人授权他人参加磋商的，须提供法定代表人授权委托书、授权代表身份证、授权代表本单位证明（在供应商单位近3个月内任意一个月缴纳的养老保险证明）。竞争性磋商文件中凡是需要法定代表人盖章之处，非法人单位的负责人均参照执行。法人的分支机构参与磋商时，除提供《法定代表人授权委托书》外，还须同时提供法人给分支机构出具的授权书。</w:t>
      </w:r>
    </w:p>
    <w:p>
      <w:pPr>
        <w:pStyle w:val="null3"/>
      </w:pPr>
      <w:r>
        <w:rPr>
          <w:rFonts w:ascii="仿宋_GB2312" w:hAnsi="仿宋_GB2312" w:cs="仿宋_GB2312" w:eastAsia="仿宋_GB2312"/>
        </w:rPr>
        <w:t>2、营业执照：提供有效存续的企业营业执照（含最新年度报告）；</w:t>
      </w:r>
    </w:p>
    <w:p>
      <w:pPr>
        <w:pStyle w:val="null3"/>
      </w:pPr>
      <w:r>
        <w:rPr>
          <w:rFonts w:ascii="仿宋_GB2312" w:hAnsi="仿宋_GB2312" w:cs="仿宋_GB2312" w:eastAsia="仿宋_GB2312"/>
        </w:rPr>
        <w:t>3、资质证书：具备建设行政主管部门核发的城乡规划编制乙级及以上资质；</w:t>
      </w:r>
    </w:p>
    <w:p>
      <w:pPr>
        <w:pStyle w:val="null3"/>
      </w:pPr>
      <w:r>
        <w:rPr>
          <w:rFonts w:ascii="仿宋_GB2312" w:hAnsi="仿宋_GB2312" w:cs="仿宋_GB2312" w:eastAsia="仿宋_GB2312"/>
        </w:rPr>
        <w:t>4、项目设计负责人：拟派项目设计负责人须具备高级工程师（规划、建筑、风景园林等相关专业）职称，或具备注册城乡规划师执业资格，须提供其在供应商单位近3个月内任意一个月缴纳的养老保险证明（退休人员可提供退休证明及返聘合同）；</w:t>
      </w:r>
    </w:p>
    <w:p>
      <w:pPr>
        <w:pStyle w:val="null3"/>
      </w:pPr>
      <w:r>
        <w:rPr>
          <w:rFonts w:ascii="仿宋_GB2312" w:hAnsi="仿宋_GB2312" w:cs="仿宋_GB2312" w:eastAsia="仿宋_GB2312"/>
        </w:rPr>
        <w:t>5、财务状况报告：提供2024年度经审计的财务报告（包括“四表一注”，即资产负债表、利润表、现金流量表、所有者权益变动表及其附注，成立时间至提交响应文件截止时间不足一年的可提供成立后任意时段的资产负债表），或其响应文件递交截止之日前三个月内基本开户银行出具的资信证明，或信用担保机构出具的磋商担保函，以上三种形式的资料提供任何一种即可；</w:t>
      </w:r>
    </w:p>
    <w:p>
      <w:pPr>
        <w:pStyle w:val="null3"/>
      </w:pPr>
      <w:r>
        <w:rPr>
          <w:rFonts w:ascii="仿宋_GB2312" w:hAnsi="仿宋_GB2312" w:cs="仿宋_GB2312" w:eastAsia="仿宋_GB2312"/>
        </w:rPr>
        <w:t>6、社保缴纳证明：提供2025年7月1日至响应文件递交截止之日任意一个月的社会保障资金缴存单据或社保机构开具的社会保险参保缴费情况证明。依法不需要缴纳社会保障资金的供应商应提供相关证明文件；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7、税收缴纳证明：提供2025年7月1日至响应文件递交截止之日任意一个月的依法缴纳税收的相关凭据（时间以税款所属日期为准、税种须同时包含增值税和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8、信用记录：提供《供应商信用记录书面声明函》（按格式填写，提供原件）。经查，供应商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9、控股管理关系：提供直接控股和管理关系清单。若与其他供应商存在单位负责人为同一人或者存在直接控股、管理关系的，则磋商无效；</w:t>
      </w:r>
    </w:p>
    <w:p>
      <w:pPr>
        <w:pStyle w:val="null3"/>
      </w:pPr>
      <w:r>
        <w:rPr>
          <w:rFonts w:ascii="仿宋_GB2312" w:hAnsi="仿宋_GB2312" w:cs="仿宋_GB2312" w:eastAsia="仿宋_GB2312"/>
        </w:rPr>
        <w:t>10、书面声明：提供书面声明，包括声明具有履行合同所必需的设备和专业技术能力；未为本项目提供整体设计、规范编制或者项目管理、监理、检测等服务；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11、本合同包不接受联合体磋商、不允许分包：供应商提供《非联合体磋商不分包声明》，视为独立响应、不分包。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白水县仓颉文化旅游区管理委员会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白水县东风路鑫源大厦13楼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任志刚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0913-8480090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鸿民国际工程（集团）有限公司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渭南市临渭区西四路林业大厦四层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党文丽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13259083638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0913-8483373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采购包1：1,258,299.50元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开户名称：鸿民国际工程（集团）有限公司</w:t>
            </w:r>
          </w:p>
          <w:p>
            <w:pPr>
              <w:pStyle w:val="null3"/>
            </w:pPr>
            <w:r>
              <w:rPr>
                <w:rFonts w:ascii="仿宋_GB2312" w:hAnsi="仿宋_GB2312" w:cs="仿宋_GB2312" w:eastAsia="仿宋_GB2312"/>
              </w:rPr>
              <w:t>开户银行：中国银行渭南分行营业部</w:t>
            </w:r>
          </w:p>
          <w:p>
            <w:pPr>
              <w:pStyle w:val="null3"/>
            </w:pPr>
            <w:r>
              <w:rPr>
                <w:rFonts w:ascii="仿宋_GB2312" w:hAnsi="仿宋_GB2312" w:cs="仿宋_GB2312" w:eastAsia="仿宋_GB2312"/>
              </w:rPr>
              <w:t>银行账号：103311740136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人与采购代理机构依据“财库[2018]2号-财政部关于印发《政府采购代理机构管理暂行办法》的通知”第十五条规定，约定代理服务费由成交单位支付。成交单位在领取成交通知书前一次性付清。参照国家计委关于《招标代理服务收费管理暂行办法》（计价格〔2002〕1980号）、《国家发展改革委关于降低部分建设项目收费标准规范收费行为等有关问题的通知》（发改价格〔2011〕534号），以成交价为基数，按标准的100%收取。成交单位的代理服务费交纳信息：开户名称：鸿民国际工程（集团）有限公司渭南分公司 开户银行：中国建设银行股份有限公司渭南朝阳大街支行 账号：61050164500800000631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白水县仓颉文化旅游区管理委员会</w:t>
      </w:r>
      <w:r>
        <w:rPr>
          <w:rFonts w:ascii="仿宋_GB2312" w:hAnsi="仿宋_GB2312" w:cs="仿宋_GB2312" w:eastAsia="仿宋_GB2312"/>
        </w:rPr>
        <w:t>和</w:t>
      </w:r>
      <w:r>
        <w:rPr>
          <w:rFonts w:ascii="仿宋_GB2312" w:hAnsi="仿宋_GB2312" w:cs="仿宋_GB2312" w:eastAsia="仿宋_GB2312"/>
        </w:rPr>
        <w:t>鸿民国际工程（集团）有限公司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白水县仓颉文化旅游区管理委员会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鸿民国际工程（集团）有限公司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白水县仓颉文化旅游区管理委员会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鸿民国际工程（集团）有限公司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本项目的履约验收标准为 “全面响应、通过评审、书面确认” 三项标准的合集，必须全部满足：1.全面响应标准（前置条件）：1.1提交的规划成果（包括规划文案、全套图纸、相关附件及电子文件）内容完整、格式规范、签章齐全，在种类、数量、深度上全面响应本采购需求文件、合同及所有书面确认的设计任务要求。1.2成果文件无侵犯第三方知识产权的情形，所有引用的数据、图件来源合法、标注清晰。1.3供应商完全履行了合同约定的全部服务内容，包括但不限于现场调研、阶段性汇报、沟通协调会议等，无违约行为。2.技术质量标准（核心标准）：2.1规划内容质量：定位准确、逻辑清晰、分析深入、具有创新性和可操作性。方案能有效提升景区文化内涵、优化空间布局、创新业态产品。2.2图纸表达质量：图纸内容完整、制图规范、表达清晰，与文案内容一致，达到国家及行业规定的规划设计深度要求。2.3专项研究质量：对文化挖掘、客群分析、环境影响等关键问题的研究扎实，结论可靠，支撑有力。3.程序通过标准（最终依据）：3.1规划最终成果必须通过采购人组织的专家评审会。3.2供应商已根据书面评审意见完成全部实质性修改，或对未修改部分提供了合理解释并获采购人认可。3.3采购人审核确认后，对最终成果出具《项目验收合格证书》。该证书的出具是履约验收完成的唯一法定标志。</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联系人：党文丽</w:t>
      </w:r>
    </w:p>
    <w:p>
      <w:pPr>
        <w:pStyle w:val="null3"/>
      </w:pPr>
      <w:r>
        <w:rPr>
          <w:rFonts w:ascii="仿宋_GB2312" w:hAnsi="仿宋_GB2312" w:cs="仿宋_GB2312" w:eastAsia="仿宋_GB2312"/>
        </w:rPr>
        <w:t>联系电话：13259083638</w:t>
      </w:r>
    </w:p>
    <w:p>
      <w:pPr>
        <w:pStyle w:val="null3"/>
      </w:pPr>
      <w:r>
        <w:rPr>
          <w:rFonts w:ascii="仿宋_GB2312" w:hAnsi="仿宋_GB2312" w:cs="仿宋_GB2312" w:eastAsia="仿宋_GB2312"/>
        </w:rPr>
        <w:t>地址：渭南市临渭区西四路林业大厦四层</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项目背景与目标：为深入贯彻落实国家关于文化旅游融合发展的战略部署，推动白水县全域旅游高质量发展，进一步提升仓颉庙文化景区的文化内涵、服务品质与市场竞争力，特开展本次景区提升规划设计工作。项目旨在通过对景区文化深度挖掘、空间布局优化、业态创新升级、场景体验营造等方面的系统规划，实现景区品质化、内涵化、现代化升级，增强景区吸引力与综合效益。 2.采购内容：仓颉庙文化景区提升规划设计。主要工作内容包括但不限于：政策解读、文化挖掘与阐释、客群需求研究、发展定位提升、空间布局优化、文旅业态创新、重点地块概念设计、文化场景营造、旅游服务设施规划、环境保护与可持续发展规划、分期实施建议与运营策略等。成果形式为完整的规划文案和相应图纸。 3.分包情况：本项目共划分为1个合同包。 4.合同履行期限：自合同签订之日起90日历天内完成全部规划设计工作并提交符合要求的最终成果。 5.项目实施地点：白水县仓颉庙文化景区。</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1,258,299.50</w:t>
      </w:r>
    </w:p>
    <w:p>
      <w:pPr>
        <w:pStyle w:val="null3"/>
      </w:pPr>
      <w:r>
        <w:rPr>
          <w:rFonts w:ascii="仿宋_GB2312" w:hAnsi="仿宋_GB2312" w:cs="仿宋_GB2312" w:eastAsia="仿宋_GB2312"/>
        </w:rPr>
        <w:t>采购包最高限价（元）: 1,258,299.50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 仓颉庙文化景区提升规划设计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1,258,299.50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 仓颉庙文化景区提升规划设计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（一）技术标准</w:t>
            </w:r>
          </w:p>
          <w:p>
            <w:pPr>
              <w:pStyle w:val="null3"/>
            </w:pPr>
            <w:r>
              <w:rPr>
                <w:rFonts w:ascii="仿宋_GB2312" w:hAnsi="仿宋_GB2312" w:cs="仿宋_GB2312" w:eastAsia="仿宋_GB2312"/>
              </w:rPr>
              <w:t>1.规划设计应严格遵循国家及行业现行相关标准规范，包括但不限于：</w:t>
            </w:r>
          </w:p>
          <w:p>
            <w:pPr>
              <w:pStyle w:val="null3"/>
            </w:pPr>
            <w:r>
              <w:rPr>
                <w:rFonts w:ascii="仿宋_GB2312" w:hAnsi="仿宋_GB2312" w:cs="仿宋_GB2312" w:eastAsia="仿宋_GB2312"/>
              </w:rPr>
              <w:t>《旅游景区质量等级的划分与评定》（GB/T 17775-2003）</w:t>
            </w:r>
          </w:p>
          <w:p>
            <w:pPr>
              <w:pStyle w:val="null3"/>
            </w:pPr>
            <w:r>
              <w:rPr>
                <w:rFonts w:ascii="仿宋_GB2312" w:hAnsi="仿宋_GB2312" w:cs="仿宋_GB2312" w:eastAsia="仿宋_GB2312"/>
              </w:rPr>
              <w:t>《风景名胜区规划规范》（GB/T 50298-2018）</w:t>
            </w:r>
          </w:p>
          <w:p>
            <w:pPr>
              <w:pStyle w:val="null3"/>
            </w:pPr>
            <w:r>
              <w:rPr>
                <w:rFonts w:ascii="仿宋_GB2312" w:hAnsi="仿宋_GB2312" w:cs="仿宋_GB2312" w:eastAsia="仿宋_GB2312"/>
              </w:rPr>
              <w:t>《文化馆建筑设计规范》（JGJ/T 41-2014）</w:t>
            </w:r>
          </w:p>
          <w:p>
            <w:pPr>
              <w:pStyle w:val="null3"/>
            </w:pPr>
            <w:r>
              <w:rPr>
                <w:rFonts w:ascii="仿宋_GB2312" w:hAnsi="仿宋_GB2312" w:cs="仿宋_GB2312" w:eastAsia="仿宋_GB2312"/>
              </w:rPr>
              <w:t>《无障碍设计规范》（GB 50763-2012）</w:t>
            </w:r>
          </w:p>
          <w:p>
            <w:pPr>
              <w:pStyle w:val="null3"/>
            </w:pPr>
            <w:r>
              <w:rPr>
                <w:rFonts w:ascii="仿宋_GB2312" w:hAnsi="仿宋_GB2312" w:cs="仿宋_GB2312" w:eastAsia="仿宋_GB2312"/>
              </w:rPr>
              <w:t>《环境保护法》《文物保护法》等相关法律法规</w:t>
            </w:r>
          </w:p>
          <w:p>
            <w:pPr>
              <w:pStyle w:val="null3"/>
            </w:pPr>
            <w:r>
              <w:rPr>
                <w:rFonts w:ascii="仿宋_GB2312" w:hAnsi="仿宋_GB2312" w:cs="仿宋_GB2312" w:eastAsia="仿宋_GB2312"/>
              </w:rPr>
              <w:t>陕西省及渭南市关于文化旅游、国土空间、生态环境等方面的规划与管理规定。</w:t>
            </w:r>
          </w:p>
          <w:p>
            <w:pPr>
              <w:pStyle w:val="null3"/>
            </w:pPr>
            <w:r>
              <w:rPr>
                <w:rFonts w:ascii="仿宋_GB2312" w:hAnsi="仿宋_GB2312" w:cs="仿宋_GB2312" w:eastAsia="仿宋_GB2312"/>
              </w:rPr>
              <w:t>2.规划内容应系统全面，重点突出，具有前瞻性、创新性与可操作性，具体包括：</w:t>
            </w:r>
          </w:p>
          <w:p>
            <w:pPr>
              <w:pStyle w:val="null3"/>
            </w:pPr>
            <w:r>
              <w:rPr>
                <w:rFonts w:ascii="仿宋_GB2312" w:hAnsi="仿宋_GB2312" w:cs="仿宋_GB2312" w:eastAsia="仿宋_GB2312"/>
              </w:rPr>
              <w:t>（1）政策解读与文化挖掘：深入解读中省文旅发展政策，挖掘仓颉文化内涵与时代价值。</w:t>
            </w:r>
          </w:p>
          <w:p>
            <w:pPr>
              <w:pStyle w:val="null3"/>
            </w:pPr>
            <w:r>
              <w:rPr>
                <w:rFonts w:ascii="仿宋_GB2312" w:hAnsi="仿宋_GB2312" w:cs="仿宋_GB2312" w:eastAsia="仿宋_GB2312"/>
              </w:rPr>
              <w:t>（2）客群研究与定位提升：分析目标客群需求，明确景区发展定位与品牌形象。</w:t>
            </w:r>
          </w:p>
          <w:p>
            <w:pPr>
              <w:pStyle w:val="null3"/>
            </w:pPr>
            <w:r>
              <w:rPr>
                <w:rFonts w:ascii="仿宋_GB2312" w:hAnsi="仿宋_GB2312" w:cs="仿宋_GB2312" w:eastAsia="仿宋_GB2312"/>
              </w:rPr>
              <w:t>（3）空间布局与优化：合理规划景区功能分区、游线组织、交通体系与景观结构。</w:t>
            </w:r>
          </w:p>
          <w:p>
            <w:pPr>
              <w:pStyle w:val="null3"/>
            </w:pPr>
            <w:r>
              <w:rPr>
                <w:rFonts w:ascii="仿宋_GB2312" w:hAnsi="仿宋_GB2312" w:cs="仿宋_GB2312" w:eastAsia="仿宋_GB2312"/>
              </w:rPr>
              <w:t>（4）业态创新与产品设计：策划符合文化主题、适应市场需求的文旅业态与体验产品。</w:t>
            </w:r>
          </w:p>
          <w:p>
            <w:pPr>
              <w:pStyle w:val="null3"/>
            </w:pPr>
            <w:r>
              <w:rPr>
                <w:rFonts w:ascii="仿宋_GB2312" w:hAnsi="仿宋_GB2312" w:cs="仿宋_GB2312" w:eastAsia="仿宋_GB2312"/>
              </w:rPr>
              <w:t>（5）重点地块概念设计：对核心区域、入口区、重要节点等进行概念性方案设计。</w:t>
            </w:r>
          </w:p>
          <w:p>
            <w:pPr>
              <w:pStyle w:val="null3"/>
            </w:pPr>
            <w:r>
              <w:rPr>
                <w:rFonts w:ascii="仿宋_GB2312" w:hAnsi="仿宋_GB2312" w:cs="仿宋_GB2312" w:eastAsia="仿宋_GB2312"/>
              </w:rPr>
              <w:t>（6）场景营造与设施规划：设计文化场景、游憩空间，规划旅游服务设施与基础设施。</w:t>
            </w:r>
          </w:p>
          <w:p>
            <w:pPr>
              <w:pStyle w:val="null3"/>
            </w:pPr>
            <w:r>
              <w:rPr>
                <w:rFonts w:ascii="仿宋_GB2312" w:hAnsi="仿宋_GB2312" w:cs="仿宋_GB2312" w:eastAsia="仿宋_GB2312"/>
              </w:rPr>
              <w:t>（7）实施建议与运营指引：提出分期建设计划、投资估算、运营管理模式与营销策略。</w:t>
            </w:r>
          </w:p>
          <w:p>
            <w:pPr>
              <w:pStyle w:val="null3"/>
            </w:pPr>
            <w:r>
              <w:rPr>
                <w:rFonts w:ascii="仿宋_GB2312" w:hAnsi="仿宋_GB2312" w:cs="仿宋_GB2312" w:eastAsia="仿宋_GB2312"/>
              </w:rPr>
              <w:t>3.成果形式与深度：</w:t>
            </w:r>
          </w:p>
          <w:p>
            <w:pPr>
              <w:pStyle w:val="null3"/>
            </w:pPr>
            <w:r>
              <w:rPr>
                <w:rFonts w:ascii="仿宋_GB2312" w:hAnsi="仿宋_GB2312" w:cs="仿宋_GB2312" w:eastAsia="仿宋_GB2312"/>
              </w:rPr>
              <w:t>（1）规划文案：内容完整、逻辑清晰、数据准确、图文并茂。</w:t>
            </w:r>
          </w:p>
          <w:p>
            <w:pPr>
              <w:pStyle w:val="null3"/>
            </w:pPr>
            <w:r>
              <w:rPr>
                <w:rFonts w:ascii="仿宋_GB2312" w:hAnsi="仿宋_GB2312" w:cs="仿宋_GB2312" w:eastAsia="仿宋_GB2312"/>
              </w:rPr>
              <w:t>（2）图纸部分：应包括但不限于区位分析图、现状分析图、总平面图、功能分区图、交通规划图、景观结构图、重要节点效果图或概念方案图等，图纸清晰、表达规范。</w:t>
            </w:r>
          </w:p>
          <w:p>
            <w:pPr>
              <w:pStyle w:val="null3"/>
            </w:pPr>
            <w:r>
              <w:rPr>
                <w:rFonts w:ascii="仿宋_GB2312" w:hAnsi="仿宋_GB2312" w:cs="仿宋_GB2312" w:eastAsia="仿宋_GB2312"/>
              </w:rPr>
              <w:t>（3）成果需满足采购人后续报批、深化设计及建设实施的要求。</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（二）服务标准</w:t>
            </w:r>
          </w:p>
          <w:p>
            <w:pPr>
              <w:pStyle w:val="null3"/>
            </w:pPr>
            <w:r>
              <w:rPr>
                <w:rFonts w:ascii="仿宋_GB2312" w:hAnsi="仿宋_GB2312" w:cs="仿宋_GB2312" w:eastAsia="仿宋_GB2312"/>
              </w:rPr>
              <w:t>1.团队要求：供应商应组建经验丰富、专业配套的项目团队，明确项目设计负责人及各专业负责人，并提供团队人员资质、业绩证明。项目设计负责人应具备高级工程师（规划、建筑、风景园林等相关专业）职称，或具备注册城乡规划师执业资格，须提供其在本单位近3个月（2025年12月至今）的社保证明（退休人员可提供退休证明及返聘合同）。</w:t>
            </w:r>
          </w:p>
          <w:p>
            <w:pPr>
              <w:pStyle w:val="null3"/>
            </w:pPr>
            <w:r>
              <w:rPr>
                <w:rFonts w:ascii="仿宋_GB2312" w:hAnsi="仿宋_GB2312" w:cs="仿宋_GB2312" w:eastAsia="仿宋_GB2312"/>
              </w:rPr>
              <w:t>2.沟通汇报机制：</w:t>
            </w:r>
          </w:p>
          <w:p>
            <w:pPr>
              <w:pStyle w:val="null3"/>
            </w:pPr>
            <w:r>
              <w:rPr>
                <w:rFonts w:ascii="仿宋_GB2312" w:hAnsi="仿宋_GB2312" w:cs="仿宋_GB2312" w:eastAsia="仿宋_GB2312"/>
              </w:rPr>
              <w:t>（1）供应商应建立定期沟通机制，每两周向采购人提交一次工作进展汇报。</w:t>
            </w:r>
          </w:p>
          <w:p>
            <w:pPr>
              <w:pStyle w:val="null3"/>
            </w:pPr>
            <w:r>
              <w:rPr>
                <w:rFonts w:ascii="仿宋_GB2312" w:hAnsi="仿宋_GB2312" w:cs="仿宋_GB2312" w:eastAsia="仿宋_GB2312"/>
              </w:rPr>
              <w:t>（2）关键阶段（如初步方案、中期成果、最终成果）应组织专题汇报会，听取采购人及专家意见。</w:t>
            </w:r>
          </w:p>
          <w:p>
            <w:pPr>
              <w:pStyle w:val="null3"/>
            </w:pPr>
            <w:r>
              <w:rPr>
                <w:rFonts w:ascii="仿宋_GB2312" w:hAnsi="仿宋_GB2312" w:cs="仿宋_GB2312" w:eastAsia="仿宋_GB2312"/>
              </w:rPr>
              <w:t>（3）对于采购人提出的意见和建议，应在3个工作日内予以书面回应或修改说明。</w:t>
            </w:r>
          </w:p>
          <w:p>
            <w:pPr>
              <w:pStyle w:val="null3"/>
            </w:pPr>
            <w:r>
              <w:rPr>
                <w:rFonts w:ascii="仿宋_GB2312" w:hAnsi="仿宋_GB2312" w:cs="仿宋_GB2312" w:eastAsia="仿宋_GB2312"/>
              </w:rPr>
              <w:t>3.现场调研要求：供应商须进行不少于2次的现场实地踏勘与调研，深入了解景区现状、资源禀赋及周边环境，并与采购人及相关管理部门进行座谈交流。</w:t>
            </w:r>
          </w:p>
          <w:p>
            <w:pPr>
              <w:pStyle w:val="null3"/>
            </w:pPr>
            <w:r>
              <w:rPr>
                <w:rFonts w:ascii="仿宋_GB2312" w:hAnsi="仿宋_GB2312" w:cs="仿宋_GB2312" w:eastAsia="仿宋_GB2312"/>
              </w:rPr>
              <w:t>4.修改与完善：供应商应根据采购人及评审意见对规划成果进行修改完善，直至最终成果通过采购人认可。</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（三）成果提交要求</w:t>
            </w:r>
          </w:p>
          <w:p>
            <w:pPr>
              <w:pStyle w:val="null3"/>
            </w:pPr>
            <w:r>
              <w:rPr>
                <w:rFonts w:ascii="仿宋_GB2312" w:hAnsi="仿宋_GB2312" w:cs="仿宋_GB2312" w:eastAsia="仿宋_GB2312"/>
              </w:rPr>
              <w:t>1.供应商应在合同约定的服务期限内提交全部规划成果，提交符合国家及行业标准、满足采购人功能需求的完整规划成果，包括规划文案和图纸两部分。</w:t>
            </w:r>
          </w:p>
          <w:p>
            <w:pPr>
              <w:pStyle w:val="null3"/>
            </w:pPr>
            <w:r>
              <w:rPr>
                <w:rFonts w:ascii="仿宋_GB2312" w:hAnsi="仿宋_GB2312" w:cs="仿宋_GB2312" w:eastAsia="仿宋_GB2312"/>
              </w:rPr>
              <w:t>2.成果提交形式包括：</w:t>
            </w:r>
          </w:p>
          <w:p>
            <w:pPr>
              <w:pStyle w:val="null3"/>
            </w:pPr>
            <w:r>
              <w:rPr>
                <w:rFonts w:ascii="仿宋_GB2312" w:hAnsi="仿宋_GB2312" w:cs="仿宋_GB2312" w:eastAsia="仿宋_GB2312"/>
              </w:rPr>
              <w:t>（1）纸质版：规划文案及相关图纸装订成册，一式捌份。</w:t>
            </w:r>
          </w:p>
          <w:p>
            <w:pPr>
              <w:pStyle w:val="null3"/>
            </w:pPr>
            <w:r>
              <w:rPr>
                <w:rFonts w:ascii="仿宋_GB2312" w:hAnsi="仿宋_GB2312" w:cs="仿宋_GB2312" w:eastAsia="仿宋_GB2312"/>
              </w:rPr>
              <w:t>（2）电子版：所有文档（Word/PDF）及图纸（CAD/高清JPG等格式）刻录成光盘或U盘，一式两份。</w:t>
            </w:r>
          </w:p>
          <w:p>
            <w:pPr>
              <w:pStyle w:val="null3"/>
            </w:pPr>
            <w:r>
              <w:rPr>
                <w:rFonts w:ascii="仿宋_GB2312" w:hAnsi="仿宋_GB2312" w:cs="仿宋_GB2312" w:eastAsia="仿宋_GB2312"/>
              </w:rPr>
              <w:t>3.所有成果的知识产权归采购人所有，未经采购人同意，供应商不得擅自使用或提供给第三方。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成交供应商应保证采购人在使用所涉技术方案或其任何一部分技术资料时，免受第三方提出侵犯其专利权、商标权或工业设计权等知识产权的起诉。如果发生诉讼，所有费用和责任由成交供应商承担。</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自合同签订之日起90日历天内完成全部规划设计工作并提交符合要求的最终成果。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白水县仓颉庙文化景区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（一）验收标准 规划成果验收应以以下文件为依据： 1.本采购需求文件及合同约定的全部内容。 2.国家及地方相关法律法规、技术标准与规范。 3.采购人书面确认的阶段意见及会议纪要。 （二）验收程序 1.成果提交：供应商按合同约定提交全部规划成果。 2.初步审查：采购人在收到成果后15个工作日内组织初步审查，审查成果的完整性、规范性及是否符合任务要求。 3.专家评审（如需要）：采购人可组织相关领域专家召开评审会，对规划成果进行评审。供应商应根据评审意见进行修改完善。 4.最终验收：修改后的成果经采购人审核确认后，出具《成果验收合格证书》。 5.若成果未达到验收标准，供应商应在采购人规定时间内完成修改并重新提交，由此产生的一切费用由供应商承担。</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供应商提交全部规划成果并通过采购人最终验收后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完全理解并接受第八章“拟签订采购合同文本”。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供应商需在项目电子化交易系统中按要求上传相应资格证明文件并进行电子签章；供应商需在项目电子化交易系统中按要求填写《响应函》完成承诺并进行电子签章。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供应商需在项目电子化交易系统中按要求上传相应资格证明文件并进行电子签章；供应商需在项目电子化交易系统中按要求填写《响应函》完成承诺并进行电子签章。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供应商需在项目电子化交易系统中按要求上传相应资格证明文件并进行电子签章；供应商需在项目电子化交易系统中按要求填写《响应函》完成承诺并进行电子签章。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供应商代表身份</w:t>
            </w:r>
          </w:p>
        </w:tc>
        <w:tc>
          <w:tcPr>
            <w:tcW w:type="dxa" w:w="3322"/>
          </w:tcPr>
          <w:p>
            <w:pPr>
              <w:pStyle w:val="null3"/>
            </w:pPr>
            <w:r>
              <w:rPr>
                <w:rFonts w:ascii="仿宋_GB2312" w:hAnsi="仿宋_GB2312" w:cs="仿宋_GB2312" w:eastAsia="仿宋_GB2312"/>
              </w:rPr>
              <w:t>法定代表人参加磋商的，须提供本人身份证复印件（附在资格证明文件中）；法定代表人授权他人参加磋商的，须提供法定代表人授权委托书、授权代表身份证、授权代表本单位证明（在供应商单位近3个月内任意一个月缴纳的养老保险证明）。竞争性磋商文件中凡是需要法定代表人盖章之处，非法人单位的负责人均参照执行。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提供有效存续的企业营业执照（含最新年度报告）；</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具备建设行政主管部门核发的城乡规划编制乙级及以上资质；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项目设计负责人</w:t>
            </w:r>
          </w:p>
        </w:tc>
        <w:tc>
          <w:tcPr>
            <w:tcW w:type="dxa" w:w="3322"/>
          </w:tcPr>
          <w:p>
            <w:pPr>
              <w:pStyle w:val="null3"/>
            </w:pPr>
            <w:r>
              <w:rPr>
                <w:rFonts w:ascii="仿宋_GB2312" w:hAnsi="仿宋_GB2312" w:cs="仿宋_GB2312" w:eastAsia="仿宋_GB2312"/>
              </w:rPr>
              <w:t>拟派项目设计负责人须具备高级工程师（规划、建筑、风景园林等相关专业）职称，或具备注册城乡规划师执业资格，须提供其在供应商单位近3个月内任意一个月缴纳的养老保险证明（退休人员可提供退休证明及返聘合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包括“四表一注”，即资产负债表、利润表、现金流量表、所有者权益变动表及其附注，成立时间至提交响应文件截止时间不足一年的可提供成立后任意时段的资产负债表），或其响应文件递交截止之日前三个月内基本开户银行出具的资信证明，或信用担保机构出具的磋商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提供2025年7月1日至响应文件递交截止之日任意一个月的社会保障资金缴存单据或社保机构开具的社会保险参保缴费情况证明。依法不需要缴纳社会保障资金的供应商应提供相关证明文件；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1日至响应文件递交截止之日任意一个月的依法缴纳税收的相关凭据（时间以税款所属日期为准、税种须同时包含增值税和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按格式填写，提供原件）。经查，供应商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提供直接控股和管理关系清单。若与其他供应商存在单位负责人为同一人或者存在直接控股、管理关系的，则磋商无效；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本合同包不接受联合体磋商、不允许分包</w:t>
            </w:r>
          </w:p>
        </w:tc>
        <w:tc>
          <w:tcPr>
            <w:tcW w:type="dxa" w:w="3322"/>
          </w:tcPr>
          <w:p>
            <w:pPr>
              <w:pStyle w:val="null3"/>
            </w:pPr>
            <w:r>
              <w:rPr>
                <w:rFonts w:ascii="仿宋_GB2312" w:hAnsi="仿宋_GB2312" w:cs="仿宋_GB2312" w:eastAsia="仿宋_GB2312"/>
              </w:rPr>
              <w:t>供应商提供《非联合体磋商不分包声明》，视为独立响应、不分包。</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磋商文件签字盖章</w:t>
            </w:r>
          </w:p>
        </w:tc>
        <w:tc>
          <w:tcPr>
            <w:tcW w:type="dxa" w:w="3322"/>
          </w:tcPr>
          <w:p>
            <w:pPr>
              <w:pStyle w:val="null3"/>
            </w:pPr>
            <w:r>
              <w:rPr>
                <w:rFonts w:ascii="仿宋_GB2312" w:hAnsi="仿宋_GB2312" w:cs="仿宋_GB2312" w:eastAsia="仿宋_GB2312"/>
              </w:rPr>
              <w:t>响应文件签字盖章满足磋商文件的要求</w:t>
            </w:r>
          </w:p>
        </w:tc>
        <w:tc>
          <w:tcPr>
            <w:tcW w:type="dxa" w:w="1661"/>
          </w:tcPr>
          <w:p>
            <w:pPr>
              <w:pStyle w:val="null3"/>
            </w:pPr>
            <w:r>
              <w:rPr>
                <w:rFonts w:ascii="仿宋_GB2312" w:hAnsi="仿宋_GB2312" w:cs="仿宋_GB2312" w:eastAsia="仿宋_GB2312"/>
              </w:rPr>
              <w:t>响应文件封面 中小企业声明函 近年类似项目业绩.docx 项目设计负责人简历表.docx 标的清单 拟委任的主要人员汇总表.docx 报价表 服务内容及服务邀请应答表.docx 商务应答表.docx 响应函 承诺函.docx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供应商首次磋商报价未出现选择性报价，首次磋商报价未超出采购预算及最高限价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响应文件中对合同草案条款未附加采购人难以接受的条件</w:t>
            </w:r>
          </w:p>
        </w:tc>
        <w:tc>
          <w:tcPr>
            <w:tcW w:type="dxa" w:w="1661"/>
          </w:tcPr>
          <w:p>
            <w:pPr>
              <w:pStyle w:val="null3"/>
            </w:pPr>
            <w:r>
              <w:rPr>
                <w:rFonts w:ascii="仿宋_GB2312" w:hAnsi="仿宋_GB2312" w:cs="仿宋_GB2312" w:eastAsia="仿宋_GB2312"/>
              </w:rPr>
              <w:t>服务内容及服务邀请应答表.docx 商务应答表.docx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磋商内容</w:t>
            </w:r>
          </w:p>
        </w:tc>
        <w:tc>
          <w:tcPr>
            <w:tcW w:type="dxa" w:w="3322"/>
          </w:tcPr>
          <w:p>
            <w:pPr>
              <w:pStyle w:val="null3"/>
            </w:pPr>
            <w:r>
              <w:rPr>
                <w:rFonts w:ascii="仿宋_GB2312" w:hAnsi="仿宋_GB2312" w:cs="仿宋_GB2312" w:eastAsia="仿宋_GB2312"/>
              </w:rPr>
              <w:t>磋商内容未出现漏项，要求相符，未出现重大负偏差</w:t>
            </w:r>
          </w:p>
        </w:tc>
        <w:tc>
          <w:tcPr>
            <w:tcW w:type="dxa" w:w="1661"/>
          </w:tcPr>
          <w:p>
            <w:pPr>
              <w:pStyle w:val="null3"/>
            </w:pPr>
            <w:r>
              <w:rPr>
                <w:rFonts w:ascii="仿宋_GB2312" w:hAnsi="仿宋_GB2312" w:cs="仿宋_GB2312" w:eastAsia="仿宋_GB2312"/>
              </w:rPr>
              <w:t>服务内容及服务邀请应答表.docx 商务应答表.docx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2022年1月1日至响应文件递交截止之日，承揽过文化景区、旅游度假区、历史文化街区或类似区域的总体规划、详细规划、提升规划或城市设计项目的业绩。每提供1项符合要求的业绩得1分，本项最高得5分。 评审依据：须提供加盖供应商公章的合同关键页（包含项目名称、合同金额、签订时间、双方签章）复印件。合同无法体现项目特征的，可补充提供业主证明或验收文件。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近年类似项目业绩.docx</w:t>
            </w:r>
          </w:p>
        </w:tc>
      </w:tr>
      <w:tr>
        <w:tc>
          <w:tcPr>
            <w:tcW w:type="dxa" w:w="831"/>
            <w:vMerge/>
          </w:tcPr>
          <w:p/>
        </w:tc>
        <w:tc>
          <w:tcPr>
            <w:tcW w:type="dxa" w:w="1661"/>
          </w:tcPr>
          <w:p>
            <w:pPr>
              <w:pStyle w:val="null3"/>
            </w:pPr>
            <w:r>
              <w:rPr>
                <w:rFonts w:ascii="仿宋_GB2312" w:hAnsi="仿宋_GB2312" w:cs="仿宋_GB2312" w:eastAsia="仿宋_GB2312"/>
              </w:rPr>
              <w:t>项目设计负责人业绩</w:t>
            </w:r>
          </w:p>
        </w:tc>
        <w:tc>
          <w:tcPr>
            <w:tcW w:type="dxa" w:w="2492"/>
          </w:tcPr>
          <w:p>
            <w:pPr>
              <w:pStyle w:val="null3"/>
            </w:pPr>
            <w:r>
              <w:rPr>
                <w:rFonts w:ascii="仿宋_GB2312" w:hAnsi="仿宋_GB2312" w:cs="仿宋_GB2312" w:eastAsia="仿宋_GB2312"/>
              </w:rPr>
              <w:t>拟派项目设计负责人自2022年1月1日以来，作为项目设计负责人或技术负责人，完成过上述类型的项目业绩。每提供1项符合要求的业绩得2.5分，本项最高得5分。 评审依据：须提供加盖供应商公章的合同复印件以及能证明其担任角色的相关证明材料（合同人员名单页或中标通知书或业主证明或项目成果署名页等），无法体现项目设计负责人姓名的，业绩不予认可。</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项目设计负责人简历表.docx</w:t>
            </w:r>
          </w:p>
        </w:tc>
      </w:tr>
      <w:tr>
        <w:tc>
          <w:tcPr>
            <w:tcW w:type="dxa" w:w="831"/>
            <w:vMerge/>
          </w:tcPr>
          <w:p/>
        </w:tc>
        <w:tc>
          <w:tcPr>
            <w:tcW w:type="dxa" w:w="1661"/>
          </w:tcPr>
          <w:p>
            <w:pPr>
              <w:pStyle w:val="null3"/>
            </w:pPr>
            <w:r>
              <w:rPr>
                <w:rFonts w:ascii="仿宋_GB2312" w:hAnsi="仿宋_GB2312" w:cs="仿宋_GB2312" w:eastAsia="仿宋_GB2312"/>
              </w:rPr>
              <w:t>其他主要人员资历</w:t>
            </w:r>
          </w:p>
        </w:tc>
        <w:tc>
          <w:tcPr>
            <w:tcW w:type="dxa" w:w="2492"/>
          </w:tcPr>
          <w:p>
            <w:pPr>
              <w:pStyle w:val="null3"/>
            </w:pPr>
            <w:r>
              <w:rPr>
                <w:rFonts w:ascii="仿宋_GB2312" w:hAnsi="仿宋_GB2312" w:cs="仿宋_GB2312" w:eastAsia="仿宋_GB2312"/>
              </w:rPr>
              <w:t>项目团队（除项目设计负责人外）需配备规划、景观、建筑等专业技术人员。 ①每有一名成员具备高级工程师职称或相应国家注册执业资格（注册城乡规划师或注册建筑师），得3分； ②每有一名成员具备中级工程师职称得2分。 评审依据：须提供加盖供应商公章的人员职称证书或执业资格证书。 注：同一人员不重复计分，按最高分值计算。</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拟委任的主要人员汇总表.docx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评审内容：根据供应商针对本项目的质量保障措施，各部分内容全面详细、阐述条理清晰详尽、符合磋商文件要求。内容包含①质量问题分析；②保障措施；③达到目标。评审标准:上述每项内容无缺陷得5分，满分为15分。内容每存在1处缺陷：扣1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1.质量保障措施.docx</w:t>
            </w:r>
          </w:p>
        </w:tc>
      </w:tr>
      <w:tr>
        <w:tc>
          <w:tcPr>
            <w:tcW w:type="dxa" w:w="831"/>
            <w:vMerge/>
          </w:tcPr>
          <w:p/>
        </w:tc>
        <w:tc>
          <w:tcPr>
            <w:tcW w:type="dxa" w:w="1661"/>
          </w:tcPr>
          <w:p>
            <w:pPr>
              <w:pStyle w:val="null3"/>
            </w:pPr>
            <w:r>
              <w:rPr>
                <w:rFonts w:ascii="仿宋_GB2312" w:hAnsi="仿宋_GB2312" w:cs="仿宋_GB2312" w:eastAsia="仿宋_GB2312"/>
              </w:rPr>
              <w:t>进度计划及保障措施</w:t>
            </w:r>
          </w:p>
        </w:tc>
        <w:tc>
          <w:tcPr>
            <w:tcW w:type="dxa" w:w="2492"/>
          </w:tcPr>
          <w:p>
            <w:pPr>
              <w:pStyle w:val="null3"/>
            </w:pPr>
            <w:r>
              <w:rPr>
                <w:rFonts w:ascii="仿宋_GB2312" w:hAnsi="仿宋_GB2312" w:cs="仿宋_GB2312" w:eastAsia="仿宋_GB2312"/>
              </w:rPr>
              <w:t>根据供应商针对本项目的进度计划及保障措施，各部分内容全面详细、阐述条理清晰详尽、符合磋商文件要求。内容包含①进度计划；②保障措施。评审标准:上述每项内容无缺陷得5分，满分为10分。内容每存在1处缺陷：扣1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2.进度计划及保障措施.docx</w:t>
            </w:r>
          </w:p>
        </w:tc>
      </w:tr>
      <w:tr>
        <w:tc>
          <w:tcPr>
            <w:tcW w:type="dxa" w:w="831"/>
            <w:vMerge/>
          </w:tcPr>
          <w:p/>
        </w:tc>
        <w:tc>
          <w:tcPr>
            <w:tcW w:type="dxa" w:w="1661"/>
          </w:tcPr>
          <w:p>
            <w:pPr>
              <w:pStyle w:val="null3"/>
            </w:pPr>
            <w:r>
              <w:rPr>
                <w:rFonts w:ascii="仿宋_GB2312" w:hAnsi="仿宋_GB2312" w:cs="仿宋_GB2312" w:eastAsia="仿宋_GB2312"/>
              </w:rPr>
              <w:t>技术思路和应对措施</w:t>
            </w:r>
          </w:p>
        </w:tc>
        <w:tc>
          <w:tcPr>
            <w:tcW w:type="dxa" w:w="2492"/>
          </w:tcPr>
          <w:p>
            <w:pPr>
              <w:pStyle w:val="null3"/>
            </w:pPr>
            <w:r>
              <w:rPr>
                <w:rFonts w:ascii="仿宋_GB2312" w:hAnsi="仿宋_GB2312" w:cs="仿宋_GB2312" w:eastAsia="仿宋_GB2312"/>
              </w:rPr>
              <w:t>根据供应商针对本项目的技术思路和应对措施，各部分内容全面详细、阐述条理清晰详尽、符合磋商文件要求。内容包含①技术思路；②工作流程；③管理制度和协调方案；④设计方案；⑤应对措施。评审标准:上述每项内容无缺陷得2分，满分为10分。方案内容每存在1处缺陷：扣1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3.技术思路和应对措施.docx</w:t>
            </w:r>
          </w:p>
        </w:tc>
      </w:tr>
      <w:tr>
        <w:tc>
          <w:tcPr>
            <w:tcW w:type="dxa" w:w="831"/>
            <w:vMerge/>
          </w:tcPr>
          <w:p/>
        </w:tc>
        <w:tc>
          <w:tcPr>
            <w:tcW w:type="dxa" w:w="1661"/>
          </w:tcPr>
          <w:p>
            <w:pPr>
              <w:pStyle w:val="null3"/>
            </w:pPr>
            <w:r>
              <w:rPr>
                <w:rFonts w:ascii="仿宋_GB2312" w:hAnsi="仿宋_GB2312" w:cs="仿宋_GB2312" w:eastAsia="仿宋_GB2312"/>
              </w:rPr>
              <w:t>成果提交措施</w:t>
            </w:r>
          </w:p>
        </w:tc>
        <w:tc>
          <w:tcPr>
            <w:tcW w:type="dxa" w:w="2492"/>
          </w:tcPr>
          <w:p>
            <w:pPr>
              <w:pStyle w:val="null3"/>
            </w:pPr>
            <w:r>
              <w:rPr>
                <w:rFonts w:ascii="仿宋_GB2312" w:hAnsi="仿宋_GB2312" w:cs="仿宋_GB2312" w:eastAsia="仿宋_GB2312"/>
              </w:rPr>
              <w:t>根据供应商针对本项目的成果提交措施，各部分内容全面详细、阐述条理清晰详尽、符合磋商文件要求。内容包含①提交内容；②规范性；③工作流程。评审标准:上述每项内容无缺陷得3分，满分为9分。内容每存在1处缺陷：扣1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4.成果提交措施.docx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根据供应商针对本项目的保密措施，各部分内容全面详细、阐述条理清晰详尽、符合磋商文件要求。内容包含①保密工作承诺；②保密制度；③保证措施。评审标准:上述每项内容无缺陷得2分，满分为6分。内容每存在1处缺陷：扣1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5.保密措施.docx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对成果交付以及后期服务相关内容做出承诺，后续服务安排及保障全面可行，满分5分；内容每存在1处缺陷：扣1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6.服务承诺.docx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磋商报价最低的为基准价，其价格分为满分。其他磋商供应商的价格分统一按照下列公式计算：最终磋商报价得分=（基准价/最终磋商报价）×价格权值%×100（磋商小组认为供应商的最终报价明显低于其他通过符合性审查供应商的报价，有可能影响项目质量或者不能诚信履约的，应当在磋商现场提供书面说明及相关证明材料。供应商不能证明其报价合理性的，为无效磋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详见附件：近年类似项目业绩.docx</w:t>
      </w:r>
    </w:p>
    <w:p>
      <w:pPr>
        <w:pStyle w:val="null3"/>
        <w:ind w:firstLine="960"/>
      </w:pPr>
      <w:r>
        <w:rPr>
          <w:rFonts w:ascii="仿宋_GB2312" w:hAnsi="仿宋_GB2312" w:cs="仿宋_GB2312" w:eastAsia="仿宋_GB2312"/>
        </w:rPr>
        <w:t>详见附件：项目设计负责人简历表.docx</w:t>
      </w:r>
    </w:p>
    <w:p>
      <w:pPr>
        <w:pStyle w:val="null3"/>
        <w:ind w:firstLine="960"/>
      </w:pPr>
      <w:r>
        <w:rPr>
          <w:rFonts w:ascii="仿宋_GB2312" w:hAnsi="仿宋_GB2312" w:cs="仿宋_GB2312" w:eastAsia="仿宋_GB2312"/>
        </w:rPr>
        <w:t>详见附件：拟委任的主要人员汇总表.docx</w:t>
      </w:r>
    </w:p>
    <w:p>
      <w:pPr>
        <w:pStyle w:val="null3"/>
        <w:ind w:firstLine="960"/>
      </w:pPr>
      <w:r>
        <w:rPr>
          <w:rFonts w:ascii="仿宋_GB2312" w:hAnsi="仿宋_GB2312" w:cs="仿宋_GB2312" w:eastAsia="仿宋_GB2312"/>
        </w:rPr>
        <w:t>详见附件：1.质量保障措施.docx</w:t>
      </w:r>
    </w:p>
    <w:p>
      <w:pPr>
        <w:pStyle w:val="null3"/>
        <w:ind w:firstLine="960"/>
      </w:pPr>
      <w:r>
        <w:rPr>
          <w:rFonts w:ascii="仿宋_GB2312" w:hAnsi="仿宋_GB2312" w:cs="仿宋_GB2312" w:eastAsia="仿宋_GB2312"/>
        </w:rPr>
        <w:t>详见附件：2.进度计划及保障措施.docx</w:t>
      </w:r>
    </w:p>
    <w:p>
      <w:pPr>
        <w:pStyle w:val="null3"/>
        <w:ind w:firstLine="960"/>
      </w:pPr>
      <w:r>
        <w:rPr>
          <w:rFonts w:ascii="仿宋_GB2312" w:hAnsi="仿宋_GB2312" w:cs="仿宋_GB2312" w:eastAsia="仿宋_GB2312"/>
        </w:rPr>
        <w:t>详见附件：3.技术思路和应对措施.docx</w:t>
      </w:r>
    </w:p>
    <w:p>
      <w:pPr>
        <w:pStyle w:val="null3"/>
        <w:ind w:firstLine="960"/>
      </w:pPr>
      <w:r>
        <w:rPr>
          <w:rFonts w:ascii="仿宋_GB2312" w:hAnsi="仿宋_GB2312" w:cs="仿宋_GB2312" w:eastAsia="仿宋_GB2312"/>
        </w:rPr>
        <w:t>详见附件：4.成果提交措施.docx</w:t>
      </w:r>
    </w:p>
    <w:p>
      <w:pPr>
        <w:pStyle w:val="null3"/>
        <w:ind w:firstLine="960"/>
      </w:pPr>
      <w:r>
        <w:rPr>
          <w:rFonts w:ascii="仿宋_GB2312" w:hAnsi="仿宋_GB2312" w:cs="仿宋_GB2312" w:eastAsia="仿宋_GB2312"/>
        </w:rPr>
        <w:t>详见附件：5.保密措施.docx</w:t>
      </w:r>
    </w:p>
    <w:p>
      <w:pPr>
        <w:pStyle w:val="null3"/>
        <w:ind w:firstLine="960"/>
      </w:pPr>
      <w:r>
        <w:rPr>
          <w:rFonts w:ascii="仿宋_GB2312" w:hAnsi="仿宋_GB2312" w:cs="仿宋_GB2312" w:eastAsia="仿宋_GB2312"/>
        </w:rPr>
        <w:t>详见附件：6.服务承诺.docx</w:t>
      </w:r>
    </w:p>
    <w:p>
      <w:pPr>
        <w:pStyle w:val="null3"/>
        <w:ind w:firstLine="960"/>
      </w:pPr>
      <w:r>
        <w:rPr>
          <w:rFonts w:ascii="仿宋_GB2312" w:hAnsi="仿宋_GB2312" w:cs="仿宋_GB2312" w:eastAsia="仿宋_GB2312"/>
        </w:rPr>
        <w:t>详见附件：承诺函.docx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详见附件：仓颉庙文化景区提升规划设计服务合同.docx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