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A9E441">
      <w:pPr>
        <w:jc w:val="center"/>
        <w:outlineLvl w:val="1"/>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t>保密会议室建设改造项目</w:t>
      </w:r>
    </w:p>
    <w:p w14:paraId="397CE826">
      <w:pPr>
        <w:jc w:val="center"/>
        <w:outlineLvl w:val="1"/>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合同主要条款</w:t>
      </w:r>
    </w:p>
    <w:p w14:paraId="048A08C1">
      <w:pPr>
        <w:tabs>
          <w:tab w:val="left" w:pos="735"/>
        </w:tabs>
        <w:autoSpaceDE w:val="0"/>
        <w:autoSpaceDN w:val="0"/>
        <w:adjustRightInd w:val="0"/>
        <w:snapToGrid w:val="0"/>
        <w:spacing w:line="360" w:lineRule="auto"/>
        <w:ind w:firstLine="631"/>
        <w:rPr>
          <w:rFonts w:hint="eastAsia" w:ascii="宋体" w:hAnsi="宋体" w:eastAsia="宋体" w:cs="宋体"/>
          <w:b/>
          <w:bCs/>
          <w:color w:val="auto"/>
          <w:sz w:val="24"/>
          <w:highlight w:val="none"/>
          <w:lang w:val="zh-CN"/>
        </w:rPr>
      </w:pPr>
      <w:r>
        <w:rPr>
          <w:rFonts w:hint="eastAsia" w:ascii="宋体" w:hAnsi="宋体" w:eastAsia="宋体" w:cs="宋体"/>
          <w:b/>
          <w:bCs/>
          <w:color w:val="auto"/>
          <w:sz w:val="24"/>
          <w:highlight w:val="none"/>
          <w:lang w:val="zh-CN"/>
        </w:rPr>
        <w:t>甲方：</w:t>
      </w:r>
      <w:r>
        <w:rPr>
          <w:rFonts w:hint="eastAsia" w:ascii="宋体" w:hAnsi="宋体" w:cs="宋体"/>
          <w:b/>
          <w:bCs/>
          <w:color w:val="auto"/>
          <w:sz w:val="24"/>
          <w:highlight w:val="none"/>
          <w:u w:val="single"/>
          <w:lang w:val="zh-CN"/>
        </w:rPr>
        <w:t>白水县人民检察院</w:t>
      </w:r>
    </w:p>
    <w:p w14:paraId="5D945F4F">
      <w:pPr>
        <w:tabs>
          <w:tab w:val="left" w:pos="735"/>
        </w:tabs>
        <w:autoSpaceDE w:val="0"/>
        <w:autoSpaceDN w:val="0"/>
        <w:adjustRightInd w:val="0"/>
        <w:snapToGrid w:val="0"/>
        <w:spacing w:line="360" w:lineRule="auto"/>
        <w:ind w:firstLine="631"/>
        <w:rPr>
          <w:rFonts w:hint="eastAsia" w:ascii="宋体" w:hAnsi="宋体" w:eastAsia="宋体" w:cs="宋体"/>
          <w:bCs/>
          <w:color w:val="auto"/>
          <w:sz w:val="24"/>
          <w:highlight w:val="none"/>
          <w:lang w:val="zh-CN"/>
        </w:rPr>
      </w:pPr>
      <w:r>
        <w:rPr>
          <w:rFonts w:hint="eastAsia" w:ascii="宋体" w:hAnsi="宋体" w:eastAsia="宋体" w:cs="宋体"/>
          <w:b/>
          <w:bCs/>
          <w:color w:val="auto"/>
          <w:sz w:val="24"/>
          <w:highlight w:val="none"/>
          <w:lang w:val="zh-CN"/>
        </w:rPr>
        <w:t>乙方：</w:t>
      </w:r>
      <w:r>
        <w:rPr>
          <w:rFonts w:hint="eastAsia" w:ascii="宋体" w:hAnsi="宋体" w:eastAsia="宋体" w:cs="宋体"/>
          <w:b/>
          <w:bCs/>
          <w:color w:val="auto"/>
          <w:sz w:val="24"/>
          <w:highlight w:val="none"/>
          <w:u w:val="single"/>
          <w:lang w:val="zh-CN"/>
        </w:rPr>
        <w:t xml:space="preserve">                         </w:t>
      </w:r>
    </w:p>
    <w:p w14:paraId="23B86A61">
      <w:pPr>
        <w:numPr>
          <w:ilvl w:val="0"/>
          <w:numId w:val="0"/>
        </w:numPr>
        <w:spacing w:line="360" w:lineRule="auto"/>
        <w:ind w:firstLine="482" w:firstLineChars="200"/>
        <w:rPr>
          <w:rFonts w:hint="eastAsia" w:ascii="宋体" w:hAnsi="宋体" w:eastAsia="宋体" w:cs="宋体"/>
          <w:b/>
          <w:color w:val="auto"/>
          <w:sz w:val="24"/>
          <w:highlight w:val="none"/>
          <w:lang w:val="en-US" w:eastAsia="zh-CN"/>
        </w:rPr>
      </w:pPr>
      <w:r>
        <w:rPr>
          <w:rFonts w:hint="eastAsia" w:ascii="宋体" w:hAnsi="宋体" w:eastAsia="宋体" w:cs="宋体"/>
          <w:b/>
          <w:color w:val="auto"/>
          <w:kern w:val="2"/>
          <w:sz w:val="24"/>
          <w:szCs w:val="22"/>
          <w:lang w:val="en-US" w:eastAsia="zh-CN" w:bidi="ar-SA"/>
        </w:rPr>
        <w:t>一、</w:t>
      </w:r>
      <w:r>
        <w:rPr>
          <w:rFonts w:hint="eastAsia" w:ascii="宋体" w:hAnsi="宋体" w:eastAsia="宋体" w:cs="宋体"/>
          <w:b/>
          <w:color w:val="auto"/>
          <w:sz w:val="24"/>
          <w:highlight w:val="none"/>
        </w:rPr>
        <w:t>合同内容及金额：</w:t>
      </w:r>
      <w:r>
        <w:rPr>
          <w:rFonts w:hint="eastAsia" w:ascii="宋体" w:hAnsi="宋体" w:eastAsia="宋体" w:cs="宋体"/>
          <w:b/>
          <w:color w:val="auto"/>
          <w:sz w:val="24"/>
          <w:highlight w:val="none"/>
          <w:u w:val="single"/>
          <w:lang w:val="en-US" w:eastAsia="zh-CN"/>
        </w:rPr>
        <w:t xml:space="preserve">                    </w:t>
      </w:r>
      <w:r>
        <w:rPr>
          <w:rFonts w:hint="eastAsia" w:ascii="宋体" w:hAnsi="宋体" w:eastAsia="宋体" w:cs="宋体"/>
          <w:b/>
          <w:color w:val="auto"/>
          <w:sz w:val="24"/>
          <w:highlight w:val="none"/>
          <w:lang w:val="en-US" w:eastAsia="zh-CN"/>
        </w:rPr>
        <w:t xml:space="preserve"> </w:t>
      </w:r>
    </w:p>
    <w:p w14:paraId="08A3F5B3">
      <w:pPr>
        <w:numPr>
          <w:ilvl w:val="0"/>
          <w:numId w:val="0"/>
        </w:numPr>
        <w:spacing w:line="360" w:lineRule="auto"/>
        <w:ind w:firstLine="480" w:firstLineChars="200"/>
        <w:rPr>
          <w:rFonts w:hint="eastAsia" w:ascii="宋体" w:hAnsi="宋体" w:eastAsia="宋体" w:cs="宋体"/>
          <w:b w:val="0"/>
          <w:bCs/>
          <w:color w:val="auto"/>
          <w:sz w:val="24"/>
          <w:highlight w:val="none"/>
          <w:lang w:val="en-US" w:eastAsia="zh-CN"/>
        </w:rPr>
      </w:pPr>
      <w:r>
        <w:rPr>
          <w:rFonts w:hint="eastAsia" w:ascii="宋体" w:hAnsi="宋体" w:cs="宋体"/>
          <w:b w:val="0"/>
          <w:bCs/>
          <w:color w:val="auto"/>
          <w:sz w:val="24"/>
          <w:highlight w:val="none"/>
          <w:lang w:val="en-US" w:eastAsia="zh-CN"/>
        </w:rPr>
        <w:t>1.1</w:t>
      </w:r>
    </w:p>
    <w:tbl>
      <w:tblPr>
        <w:tblStyle w:val="4"/>
        <w:tblpPr w:leftFromText="180" w:rightFromText="180" w:vertAnchor="text" w:horzAnchor="page" w:tblpX="1570" w:tblpY="290"/>
        <w:tblOverlap w:val="never"/>
        <w:tblW w:w="88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
        <w:gridCol w:w="1220"/>
        <w:gridCol w:w="1063"/>
        <w:gridCol w:w="1000"/>
        <w:gridCol w:w="1067"/>
        <w:gridCol w:w="933"/>
        <w:gridCol w:w="883"/>
        <w:gridCol w:w="984"/>
        <w:gridCol w:w="850"/>
      </w:tblGrid>
      <w:tr w14:paraId="4341C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34" w:type="dxa"/>
            <w:noWrap w:val="0"/>
            <w:vAlign w:val="center"/>
          </w:tcPr>
          <w:p w14:paraId="26F13679">
            <w:pPr>
              <w:pStyle w:val="3"/>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220" w:type="dxa"/>
            <w:noWrap w:val="0"/>
            <w:vAlign w:val="center"/>
          </w:tcPr>
          <w:p w14:paraId="0FB5F92E">
            <w:pPr>
              <w:pStyle w:val="3"/>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w:t>
            </w:r>
          </w:p>
          <w:p w14:paraId="7DB0A277">
            <w:pPr>
              <w:pStyle w:val="3"/>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名称</w:t>
            </w:r>
          </w:p>
        </w:tc>
        <w:tc>
          <w:tcPr>
            <w:tcW w:w="1063" w:type="dxa"/>
            <w:noWrap w:val="0"/>
            <w:vAlign w:val="center"/>
          </w:tcPr>
          <w:p w14:paraId="605AB4E4">
            <w:pPr>
              <w:pStyle w:val="3"/>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品牌</w:t>
            </w:r>
          </w:p>
        </w:tc>
        <w:tc>
          <w:tcPr>
            <w:tcW w:w="1000" w:type="dxa"/>
            <w:noWrap w:val="0"/>
            <w:vAlign w:val="center"/>
          </w:tcPr>
          <w:p w14:paraId="515FFCC7">
            <w:pPr>
              <w:pStyle w:val="3"/>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生产</w:t>
            </w:r>
          </w:p>
          <w:p w14:paraId="042E5311">
            <w:pPr>
              <w:pStyle w:val="3"/>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厂家</w:t>
            </w:r>
          </w:p>
        </w:tc>
        <w:tc>
          <w:tcPr>
            <w:tcW w:w="1067" w:type="dxa"/>
            <w:noWrap w:val="0"/>
            <w:vAlign w:val="center"/>
          </w:tcPr>
          <w:p w14:paraId="58092A49">
            <w:pPr>
              <w:pStyle w:val="3"/>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w:t>
            </w:r>
          </w:p>
          <w:p w14:paraId="43428B8F">
            <w:pPr>
              <w:pStyle w:val="3"/>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w:t>
            </w:r>
          </w:p>
        </w:tc>
        <w:tc>
          <w:tcPr>
            <w:tcW w:w="933" w:type="dxa"/>
            <w:noWrap w:val="0"/>
            <w:vAlign w:val="center"/>
          </w:tcPr>
          <w:p w14:paraId="224F7069">
            <w:pPr>
              <w:pStyle w:val="3"/>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单价</w:t>
            </w:r>
          </w:p>
        </w:tc>
        <w:tc>
          <w:tcPr>
            <w:tcW w:w="883" w:type="dxa"/>
            <w:noWrap w:val="0"/>
            <w:vAlign w:val="center"/>
          </w:tcPr>
          <w:p w14:paraId="203CA845">
            <w:pPr>
              <w:pStyle w:val="3"/>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984" w:type="dxa"/>
            <w:noWrap w:val="0"/>
            <w:vAlign w:val="center"/>
          </w:tcPr>
          <w:p w14:paraId="732795D1">
            <w:pPr>
              <w:pStyle w:val="3"/>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w:t>
            </w:r>
          </w:p>
        </w:tc>
        <w:tc>
          <w:tcPr>
            <w:tcW w:w="850" w:type="dxa"/>
            <w:noWrap w:val="0"/>
            <w:vAlign w:val="center"/>
          </w:tcPr>
          <w:p w14:paraId="21DF7408">
            <w:pPr>
              <w:pStyle w:val="3"/>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14:paraId="7D37D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34" w:type="dxa"/>
            <w:noWrap w:val="0"/>
            <w:vAlign w:val="center"/>
          </w:tcPr>
          <w:p w14:paraId="11F52BAB">
            <w:pPr>
              <w:pStyle w:val="3"/>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220" w:type="dxa"/>
            <w:noWrap w:val="0"/>
            <w:vAlign w:val="center"/>
          </w:tcPr>
          <w:p w14:paraId="388EA68D">
            <w:pPr>
              <w:pStyle w:val="3"/>
              <w:jc w:val="center"/>
              <w:rPr>
                <w:rFonts w:hint="eastAsia" w:ascii="宋体" w:hAnsi="宋体" w:eastAsia="宋体" w:cs="宋体"/>
                <w:color w:val="auto"/>
                <w:sz w:val="24"/>
                <w:szCs w:val="24"/>
                <w:highlight w:val="none"/>
              </w:rPr>
            </w:pPr>
          </w:p>
        </w:tc>
        <w:tc>
          <w:tcPr>
            <w:tcW w:w="1063" w:type="dxa"/>
            <w:noWrap w:val="0"/>
            <w:vAlign w:val="center"/>
          </w:tcPr>
          <w:p w14:paraId="374BA60B">
            <w:pPr>
              <w:pStyle w:val="3"/>
              <w:jc w:val="center"/>
              <w:rPr>
                <w:rFonts w:hint="eastAsia" w:ascii="宋体" w:hAnsi="宋体" w:eastAsia="宋体" w:cs="宋体"/>
                <w:color w:val="auto"/>
                <w:sz w:val="24"/>
                <w:szCs w:val="24"/>
                <w:highlight w:val="none"/>
              </w:rPr>
            </w:pPr>
          </w:p>
        </w:tc>
        <w:tc>
          <w:tcPr>
            <w:tcW w:w="1000" w:type="dxa"/>
            <w:noWrap w:val="0"/>
            <w:vAlign w:val="center"/>
          </w:tcPr>
          <w:p w14:paraId="0412699D">
            <w:pPr>
              <w:pStyle w:val="3"/>
              <w:jc w:val="center"/>
              <w:rPr>
                <w:rFonts w:hint="eastAsia" w:ascii="宋体" w:hAnsi="宋体" w:eastAsia="宋体" w:cs="宋体"/>
                <w:color w:val="auto"/>
                <w:sz w:val="24"/>
                <w:szCs w:val="24"/>
                <w:highlight w:val="none"/>
              </w:rPr>
            </w:pPr>
          </w:p>
        </w:tc>
        <w:tc>
          <w:tcPr>
            <w:tcW w:w="1067" w:type="dxa"/>
            <w:noWrap w:val="0"/>
            <w:vAlign w:val="center"/>
          </w:tcPr>
          <w:p w14:paraId="532A4DE5">
            <w:pPr>
              <w:pStyle w:val="3"/>
              <w:jc w:val="center"/>
              <w:rPr>
                <w:rFonts w:hint="eastAsia" w:ascii="宋体" w:hAnsi="宋体" w:eastAsia="宋体" w:cs="宋体"/>
                <w:color w:val="auto"/>
                <w:sz w:val="24"/>
                <w:szCs w:val="24"/>
                <w:highlight w:val="none"/>
              </w:rPr>
            </w:pPr>
          </w:p>
        </w:tc>
        <w:tc>
          <w:tcPr>
            <w:tcW w:w="933" w:type="dxa"/>
            <w:noWrap w:val="0"/>
            <w:vAlign w:val="center"/>
          </w:tcPr>
          <w:p w14:paraId="59A7F84D">
            <w:pPr>
              <w:pStyle w:val="3"/>
              <w:jc w:val="center"/>
              <w:rPr>
                <w:rFonts w:hint="eastAsia" w:ascii="宋体" w:hAnsi="宋体" w:eastAsia="宋体" w:cs="宋体"/>
                <w:color w:val="auto"/>
                <w:sz w:val="24"/>
                <w:szCs w:val="24"/>
                <w:highlight w:val="none"/>
              </w:rPr>
            </w:pPr>
          </w:p>
        </w:tc>
        <w:tc>
          <w:tcPr>
            <w:tcW w:w="883" w:type="dxa"/>
            <w:noWrap w:val="0"/>
            <w:vAlign w:val="center"/>
          </w:tcPr>
          <w:p w14:paraId="261A1ED4">
            <w:pPr>
              <w:pStyle w:val="3"/>
              <w:jc w:val="center"/>
              <w:rPr>
                <w:rFonts w:hint="eastAsia" w:ascii="宋体" w:hAnsi="宋体" w:eastAsia="宋体" w:cs="宋体"/>
                <w:color w:val="auto"/>
                <w:sz w:val="24"/>
                <w:szCs w:val="24"/>
                <w:highlight w:val="none"/>
              </w:rPr>
            </w:pPr>
          </w:p>
        </w:tc>
        <w:tc>
          <w:tcPr>
            <w:tcW w:w="984" w:type="dxa"/>
            <w:noWrap w:val="0"/>
            <w:vAlign w:val="center"/>
          </w:tcPr>
          <w:p w14:paraId="78B9B078">
            <w:pPr>
              <w:pStyle w:val="3"/>
              <w:jc w:val="center"/>
              <w:rPr>
                <w:rFonts w:hint="eastAsia" w:ascii="宋体" w:hAnsi="宋体" w:eastAsia="宋体" w:cs="宋体"/>
                <w:color w:val="auto"/>
                <w:sz w:val="24"/>
                <w:szCs w:val="24"/>
                <w:highlight w:val="none"/>
              </w:rPr>
            </w:pPr>
          </w:p>
        </w:tc>
        <w:tc>
          <w:tcPr>
            <w:tcW w:w="850" w:type="dxa"/>
            <w:noWrap w:val="0"/>
            <w:vAlign w:val="center"/>
          </w:tcPr>
          <w:p w14:paraId="4403BB15">
            <w:pPr>
              <w:pStyle w:val="3"/>
              <w:jc w:val="center"/>
              <w:rPr>
                <w:rFonts w:hint="eastAsia" w:ascii="宋体" w:hAnsi="宋体" w:eastAsia="宋体" w:cs="宋体"/>
                <w:color w:val="auto"/>
                <w:sz w:val="24"/>
                <w:szCs w:val="24"/>
                <w:highlight w:val="none"/>
              </w:rPr>
            </w:pPr>
          </w:p>
        </w:tc>
      </w:tr>
      <w:tr w14:paraId="525D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34" w:type="dxa"/>
            <w:noWrap w:val="0"/>
            <w:vAlign w:val="center"/>
          </w:tcPr>
          <w:p w14:paraId="3C676429">
            <w:pPr>
              <w:pStyle w:val="3"/>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220" w:type="dxa"/>
            <w:noWrap w:val="0"/>
            <w:vAlign w:val="center"/>
          </w:tcPr>
          <w:p w14:paraId="5F89E11F">
            <w:pPr>
              <w:pStyle w:val="3"/>
              <w:jc w:val="center"/>
              <w:rPr>
                <w:rFonts w:hint="eastAsia" w:ascii="宋体" w:hAnsi="宋体" w:eastAsia="宋体" w:cs="宋体"/>
                <w:color w:val="auto"/>
                <w:sz w:val="24"/>
                <w:szCs w:val="24"/>
                <w:highlight w:val="none"/>
              </w:rPr>
            </w:pPr>
          </w:p>
        </w:tc>
        <w:tc>
          <w:tcPr>
            <w:tcW w:w="1063" w:type="dxa"/>
            <w:noWrap w:val="0"/>
            <w:vAlign w:val="center"/>
          </w:tcPr>
          <w:p w14:paraId="47DEED62">
            <w:pPr>
              <w:pStyle w:val="3"/>
              <w:jc w:val="center"/>
              <w:rPr>
                <w:rFonts w:hint="eastAsia" w:ascii="宋体" w:hAnsi="宋体" w:eastAsia="宋体" w:cs="宋体"/>
                <w:color w:val="auto"/>
                <w:sz w:val="24"/>
                <w:szCs w:val="24"/>
                <w:highlight w:val="none"/>
              </w:rPr>
            </w:pPr>
          </w:p>
        </w:tc>
        <w:tc>
          <w:tcPr>
            <w:tcW w:w="1000" w:type="dxa"/>
            <w:noWrap w:val="0"/>
            <w:vAlign w:val="center"/>
          </w:tcPr>
          <w:p w14:paraId="15B9393B">
            <w:pPr>
              <w:pStyle w:val="3"/>
              <w:jc w:val="center"/>
              <w:rPr>
                <w:rFonts w:hint="eastAsia" w:ascii="宋体" w:hAnsi="宋体" w:eastAsia="宋体" w:cs="宋体"/>
                <w:color w:val="auto"/>
                <w:sz w:val="24"/>
                <w:szCs w:val="24"/>
                <w:highlight w:val="none"/>
              </w:rPr>
            </w:pPr>
          </w:p>
        </w:tc>
        <w:tc>
          <w:tcPr>
            <w:tcW w:w="1067" w:type="dxa"/>
            <w:noWrap w:val="0"/>
            <w:vAlign w:val="center"/>
          </w:tcPr>
          <w:p w14:paraId="429E0D2A">
            <w:pPr>
              <w:pStyle w:val="3"/>
              <w:jc w:val="center"/>
              <w:rPr>
                <w:rFonts w:hint="eastAsia" w:ascii="宋体" w:hAnsi="宋体" w:eastAsia="宋体" w:cs="宋体"/>
                <w:color w:val="auto"/>
                <w:sz w:val="24"/>
                <w:szCs w:val="24"/>
                <w:highlight w:val="none"/>
              </w:rPr>
            </w:pPr>
          </w:p>
        </w:tc>
        <w:tc>
          <w:tcPr>
            <w:tcW w:w="933" w:type="dxa"/>
            <w:noWrap w:val="0"/>
            <w:vAlign w:val="center"/>
          </w:tcPr>
          <w:p w14:paraId="0AA5A90B">
            <w:pPr>
              <w:pStyle w:val="3"/>
              <w:jc w:val="center"/>
              <w:rPr>
                <w:rFonts w:hint="eastAsia" w:ascii="宋体" w:hAnsi="宋体" w:eastAsia="宋体" w:cs="宋体"/>
                <w:color w:val="auto"/>
                <w:sz w:val="24"/>
                <w:szCs w:val="24"/>
                <w:highlight w:val="none"/>
              </w:rPr>
            </w:pPr>
          </w:p>
        </w:tc>
        <w:tc>
          <w:tcPr>
            <w:tcW w:w="883" w:type="dxa"/>
            <w:noWrap w:val="0"/>
            <w:vAlign w:val="center"/>
          </w:tcPr>
          <w:p w14:paraId="4BDC1CE1">
            <w:pPr>
              <w:pStyle w:val="3"/>
              <w:jc w:val="center"/>
              <w:rPr>
                <w:rFonts w:hint="eastAsia" w:ascii="宋体" w:hAnsi="宋体" w:eastAsia="宋体" w:cs="宋体"/>
                <w:color w:val="auto"/>
                <w:sz w:val="24"/>
                <w:szCs w:val="24"/>
                <w:highlight w:val="none"/>
              </w:rPr>
            </w:pPr>
          </w:p>
        </w:tc>
        <w:tc>
          <w:tcPr>
            <w:tcW w:w="984" w:type="dxa"/>
            <w:noWrap w:val="0"/>
            <w:vAlign w:val="center"/>
          </w:tcPr>
          <w:p w14:paraId="21226035">
            <w:pPr>
              <w:pStyle w:val="3"/>
              <w:jc w:val="center"/>
              <w:rPr>
                <w:rFonts w:hint="eastAsia" w:ascii="宋体" w:hAnsi="宋体" w:eastAsia="宋体" w:cs="宋体"/>
                <w:color w:val="auto"/>
                <w:sz w:val="24"/>
                <w:szCs w:val="24"/>
                <w:highlight w:val="none"/>
              </w:rPr>
            </w:pPr>
          </w:p>
        </w:tc>
        <w:tc>
          <w:tcPr>
            <w:tcW w:w="850" w:type="dxa"/>
            <w:noWrap w:val="0"/>
            <w:vAlign w:val="center"/>
          </w:tcPr>
          <w:p w14:paraId="05484099">
            <w:pPr>
              <w:pStyle w:val="3"/>
              <w:jc w:val="center"/>
              <w:rPr>
                <w:rFonts w:hint="eastAsia" w:ascii="宋体" w:hAnsi="宋体" w:eastAsia="宋体" w:cs="宋体"/>
                <w:color w:val="auto"/>
                <w:sz w:val="24"/>
                <w:szCs w:val="24"/>
                <w:highlight w:val="none"/>
              </w:rPr>
            </w:pPr>
          </w:p>
        </w:tc>
      </w:tr>
      <w:tr w14:paraId="22956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34" w:type="dxa"/>
            <w:noWrap w:val="0"/>
            <w:vAlign w:val="center"/>
          </w:tcPr>
          <w:p w14:paraId="7775DF6F">
            <w:pPr>
              <w:pStyle w:val="3"/>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w:t>
            </w:r>
          </w:p>
        </w:tc>
        <w:tc>
          <w:tcPr>
            <w:tcW w:w="1220" w:type="dxa"/>
            <w:noWrap w:val="0"/>
            <w:vAlign w:val="center"/>
          </w:tcPr>
          <w:p w14:paraId="73DF19A4">
            <w:pPr>
              <w:pStyle w:val="3"/>
              <w:jc w:val="center"/>
              <w:rPr>
                <w:rFonts w:hint="eastAsia" w:ascii="宋体" w:hAnsi="宋体" w:eastAsia="宋体" w:cs="宋体"/>
                <w:color w:val="auto"/>
                <w:sz w:val="24"/>
                <w:szCs w:val="24"/>
                <w:highlight w:val="none"/>
              </w:rPr>
            </w:pPr>
          </w:p>
        </w:tc>
        <w:tc>
          <w:tcPr>
            <w:tcW w:w="1063" w:type="dxa"/>
            <w:noWrap w:val="0"/>
            <w:vAlign w:val="center"/>
          </w:tcPr>
          <w:p w14:paraId="7DB0EB24">
            <w:pPr>
              <w:pStyle w:val="3"/>
              <w:jc w:val="center"/>
              <w:rPr>
                <w:rFonts w:hint="eastAsia" w:ascii="宋体" w:hAnsi="宋体" w:eastAsia="宋体" w:cs="宋体"/>
                <w:color w:val="auto"/>
                <w:sz w:val="24"/>
                <w:szCs w:val="24"/>
                <w:highlight w:val="none"/>
              </w:rPr>
            </w:pPr>
          </w:p>
        </w:tc>
        <w:tc>
          <w:tcPr>
            <w:tcW w:w="1000" w:type="dxa"/>
            <w:noWrap w:val="0"/>
            <w:vAlign w:val="center"/>
          </w:tcPr>
          <w:p w14:paraId="197345F6">
            <w:pPr>
              <w:pStyle w:val="3"/>
              <w:jc w:val="center"/>
              <w:rPr>
                <w:rFonts w:hint="eastAsia" w:ascii="宋体" w:hAnsi="宋体" w:eastAsia="宋体" w:cs="宋体"/>
                <w:color w:val="auto"/>
                <w:sz w:val="24"/>
                <w:szCs w:val="24"/>
                <w:highlight w:val="none"/>
              </w:rPr>
            </w:pPr>
          </w:p>
        </w:tc>
        <w:tc>
          <w:tcPr>
            <w:tcW w:w="1067" w:type="dxa"/>
            <w:noWrap w:val="0"/>
            <w:vAlign w:val="center"/>
          </w:tcPr>
          <w:p w14:paraId="17F5C6A4">
            <w:pPr>
              <w:pStyle w:val="3"/>
              <w:jc w:val="center"/>
              <w:rPr>
                <w:rFonts w:hint="eastAsia" w:ascii="宋体" w:hAnsi="宋体" w:eastAsia="宋体" w:cs="宋体"/>
                <w:color w:val="auto"/>
                <w:sz w:val="24"/>
                <w:szCs w:val="24"/>
                <w:highlight w:val="none"/>
              </w:rPr>
            </w:pPr>
          </w:p>
        </w:tc>
        <w:tc>
          <w:tcPr>
            <w:tcW w:w="933" w:type="dxa"/>
            <w:noWrap w:val="0"/>
            <w:vAlign w:val="center"/>
          </w:tcPr>
          <w:p w14:paraId="535E92CB">
            <w:pPr>
              <w:pStyle w:val="3"/>
              <w:jc w:val="center"/>
              <w:rPr>
                <w:rFonts w:hint="eastAsia" w:ascii="宋体" w:hAnsi="宋体" w:eastAsia="宋体" w:cs="宋体"/>
                <w:color w:val="auto"/>
                <w:sz w:val="24"/>
                <w:szCs w:val="24"/>
                <w:highlight w:val="none"/>
              </w:rPr>
            </w:pPr>
          </w:p>
        </w:tc>
        <w:tc>
          <w:tcPr>
            <w:tcW w:w="883" w:type="dxa"/>
            <w:noWrap w:val="0"/>
            <w:vAlign w:val="center"/>
          </w:tcPr>
          <w:p w14:paraId="115DF601">
            <w:pPr>
              <w:pStyle w:val="3"/>
              <w:jc w:val="center"/>
              <w:rPr>
                <w:rFonts w:hint="eastAsia" w:ascii="宋体" w:hAnsi="宋体" w:eastAsia="宋体" w:cs="宋体"/>
                <w:color w:val="auto"/>
                <w:sz w:val="24"/>
                <w:szCs w:val="24"/>
                <w:highlight w:val="none"/>
              </w:rPr>
            </w:pPr>
          </w:p>
        </w:tc>
        <w:tc>
          <w:tcPr>
            <w:tcW w:w="984" w:type="dxa"/>
            <w:noWrap w:val="0"/>
            <w:vAlign w:val="center"/>
          </w:tcPr>
          <w:p w14:paraId="3D340D9D">
            <w:pPr>
              <w:pStyle w:val="3"/>
              <w:jc w:val="center"/>
              <w:rPr>
                <w:rFonts w:hint="eastAsia" w:ascii="宋体" w:hAnsi="宋体" w:eastAsia="宋体" w:cs="宋体"/>
                <w:color w:val="auto"/>
                <w:sz w:val="24"/>
                <w:szCs w:val="24"/>
                <w:highlight w:val="none"/>
              </w:rPr>
            </w:pPr>
          </w:p>
        </w:tc>
        <w:tc>
          <w:tcPr>
            <w:tcW w:w="850" w:type="dxa"/>
            <w:noWrap w:val="0"/>
            <w:vAlign w:val="center"/>
          </w:tcPr>
          <w:p w14:paraId="1D630BD6">
            <w:pPr>
              <w:pStyle w:val="3"/>
              <w:jc w:val="center"/>
              <w:rPr>
                <w:rFonts w:hint="eastAsia" w:ascii="宋体" w:hAnsi="宋体" w:eastAsia="宋体" w:cs="宋体"/>
                <w:color w:val="auto"/>
                <w:sz w:val="24"/>
                <w:szCs w:val="24"/>
                <w:highlight w:val="none"/>
              </w:rPr>
            </w:pPr>
          </w:p>
        </w:tc>
      </w:tr>
      <w:tr w14:paraId="34AC0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34" w:type="dxa"/>
            <w:noWrap w:val="0"/>
            <w:vAlign w:val="center"/>
          </w:tcPr>
          <w:p w14:paraId="49CB4EA2">
            <w:pPr>
              <w:pStyle w:val="3"/>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费用总计</w:t>
            </w:r>
          </w:p>
        </w:tc>
        <w:tc>
          <w:tcPr>
            <w:tcW w:w="8000" w:type="dxa"/>
            <w:gridSpan w:val="8"/>
            <w:noWrap w:val="0"/>
            <w:vAlign w:val="center"/>
          </w:tcPr>
          <w:p w14:paraId="55AA0ECC">
            <w:pPr>
              <w:pStyle w:val="3"/>
              <w:jc w:val="center"/>
              <w:rPr>
                <w:rFonts w:hint="eastAsia" w:ascii="宋体" w:hAnsi="宋体" w:eastAsia="宋体" w:cs="宋体"/>
                <w:color w:val="auto"/>
                <w:sz w:val="24"/>
                <w:szCs w:val="24"/>
                <w:highlight w:val="none"/>
              </w:rPr>
            </w:pPr>
          </w:p>
        </w:tc>
      </w:tr>
    </w:tbl>
    <w:p w14:paraId="2D378240">
      <w:pPr>
        <w:pStyle w:val="6"/>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本报价为固定总价，供应商为完成本项目所需的全部费用（产品供应费、运输费（含保险费）、安装调试费、验收费、税金及其它一切费用。）</w:t>
      </w:r>
    </w:p>
    <w:p w14:paraId="2281626E">
      <w:pPr>
        <w:pStyle w:val="6"/>
        <w:spacing w:line="360" w:lineRule="auto"/>
        <w:ind w:left="0" w:firstLine="482" w:firstLineChars="200"/>
        <w:rPr>
          <w:rFonts w:hint="eastAsia" w:ascii="宋体" w:hAnsi="宋体" w:eastAsia="宋体" w:cs="宋体"/>
          <w:color w:val="auto"/>
          <w:kern w:val="2"/>
          <w:sz w:val="24"/>
          <w:szCs w:val="22"/>
          <w:highlight w:val="none"/>
          <w:lang w:val="en-US" w:eastAsia="zh-CN" w:bidi="ar-SA"/>
        </w:rPr>
      </w:pPr>
      <w:r>
        <w:rPr>
          <w:rFonts w:hint="eastAsia" w:ascii="宋体" w:hAnsi="宋体" w:eastAsia="宋体" w:cs="宋体"/>
          <w:b/>
          <w:bCs/>
          <w:color w:val="auto"/>
          <w:kern w:val="2"/>
          <w:sz w:val="24"/>
          <w:szCs w:val="22"/>
          <w:highlight w:val="none"/>
          <w:lang w:val="en-US" w:eastAsia="zh-CN" w:bidi="ar-SA"/>
        </w:rPr>
        <w:t>二、质量保证</w:t>
      </w:r>
      <w:r>
        <w:rPr>
          <w:rFonts w:hint="eastAsia" w:ascii="宋体" w:hAnsi="宋体" w:eastAsia="宋体" w:cs="宋体"/>
          <w:color w:val="auto"/>
          <w:kern w:val="2"/>
          <w:sz w:val="24"/>
          <w:szCs w:val="22"/>
          <w:highlight w:val="none"/>
          <w:lang w:val="en-US" w:eastAsia="zh-CN" w:bidi="ar-SA"/>
        </w:rPr>
        <w:t>：</w:t>
      </w:r>
    </w:p>
    <w:p w14:paraId="72A0406E">
      <w:pPr>
        <w:spacing w:line="360" w:lineRule="auto"/>
        <w:ind w:firstLine="480" w:firstLineChars="200"/>
        <w:rPr>
          <w:rFonts w:hint="eastAsia" w:ascii="宋体" w:hAnsi="宋体" w:eastAsia="宋体" w:cs="宋体"/>
          <w:color w:val="auto"/>
          <w:sz w:val="24"/>
          <w:highlight w:val="none"/>
        </w:rPr>
      </w:pPr>
      <w:bookmarkStart w:id="0" w:name="_Toc167715250"/>
      <w:bookmarkStart w:id="1" w:name="_Toc167712855"/>
      <w:bookmarkStart w:id="2" w:name="_Toc167714053"/>
      <w:bookmarkStart w:id="3" w:name="_Toc167712857"/>
      <w:bookmarkStart w:id="4" w:name="_Toc167715252"/>
      <w:bookmarkStart w:id="5" w:name="_Toc167714055"/>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、所有货物质量必须符合国家有关规范和相关政策。所有货物及辅材必须是未使用过的新货物，质量优良、渠道正当，配置合理。</w:t>
      </w:r>
      <w:bookmarkEnd w:id="0"/>
      <w:bookmarkEnd w:id="1"/>
      <w:bookmarkEnd w:id="2"/>
      <w:bookmarkStart w:id="6" w:name="_Toc167712856"/>
      <w:bookmarkStart w:id="7" w:name="_Toc167714054"/>
      <w:bookmarkStart w:id="8" w:name="_Toc167715251"/>
    </w:p>
    <w:p w14:paraId="0DD1D032">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、质保期出现的质量问题由</w:t>
      </w:r>
      <w:r>
        <w:rPr>
          <w:rFonts w:hint="eastAsia" w:ascii="宋体" w:hAnsi="宋体" w:cs="宋体"/>
          <w:color w:val="auto"/>
          <w:sz w:val="24"/>
          <w:highlight w:val="none"/>
          <w:lang w:eastAsia="zh-CN"/>
        </w:rPr>
        <w:t>乙方</w:t>
      </w:r>
      <w:r>
        <w:rPr>
          <w:rFonts w:hint="eastAsia" w:ascii="宋体" w:hAnsi="宋体" w:eastAsia="宋体" w:cs="宋体"/>
          <w:color w:val="auto"/>
          <w:sz w:val="24"/>
          <w:highlight w:val="none"/>
        </w:rPr>
        <w:t>负责解决并承担所有费用。质保期后如需更换零部件，</w:t>
      </w:r>
      <w:r>
        <w:rPr>
          <w:rFonts w:hint="eastAsia" w:ascii="宋体" w:hAnsi="宋体" w:cs="宋体"/>
          <w:color w:val="auto"/>
          <w:sz w:val="24"/>
          <w:highlight w:val="none"/>
          <w:lang w:eastAsia="zh-CN"/>
        </w:rPr>
        <w:t>乙方</w:t>
      </w:r>
      <w:r>
        <w:rPr>
          <w:rFonts w:hint="eastAsia" w:ascii="宋体" w:hAnsi="宋体" w:eastAsia="宋体" w:cs="宋体"/>
          <w:color w:val="auto"/>
          <w:sz w:val="24"/>
          <w:highlight w:val="none"/>
        </w:rPr>
        <w:t>应以优惠价提供。</w:t>
      </w:r>
      <w:bookmarkEnd w:id="3"/>
      <w:bookmarkEnd w:id="4"/>
      <w:bookmarkEnd w:id="5"/>
      <w:bookmarkEnd w:id="6"/>
      <w:bookmarkEnd w:id="7"/>
      <w:bookmarkEnd w:id="8"/>
    </w:p>
    <w:p w14:paraId="218D02FF">
      <w:pPr>
        <w:pStyle w:val="3"/>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w:t>
      </w:r>
      <w:r>
        <w:rPr>
          <w:rFonts w:hint="eastAsia" w:hAnsi="宋体" w:cs="宋体"/>
          <w:b/>
          <w:bCs/>
          <w:color w:val="auto"/>
          <w:sz w:val="24"/>
          <w:szCs w:val="24"/>
          <w:highlight w:val="none"/>
          <w:lang w:val="en-US" w:eastAsia="zh-CN"/>
        </w:rPr>
        <w:t>交付</w:t>
      </w:r>
      <w:r>
        <w:rPr>
          <w:rFonts w:hint="eastAsia" w:ascii="宋体" w:hAnsi="宋体" w:eastAsia="宋体" w:cs="宋体"/>
          <w:b/>
          <w:bCs/>
          <w:color w:val="auto"/>
          <w:sz w:val="24"/>
          <w:szCs w:val="24"/>
          <w:highlight w:val="none"/>
        </w:rPr>
        <w:t>时间与服务地点：</w:t>
      </w:r>
    </w:p>
    <w:p w14:paraId="0855A986">
      <w:pPr>
        <w:pStyle w:val="2"/>
        <w:spacing w:line="360" w:lineRule="auto"/>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w:t>
      </w:r>
      <w:r>
        <w:rPr>
          <w:rFonts w:hint="eastAsia" w:ascii="宋体" w:hAnsi="宋体" w:cs="宋体"/>
          <w:color w:val="auto"/>
          <w:kern w:val="2"/>
          <w:sz w:val="24"/>
          <w:szCs w:val="24"/>
          <w:highlight w:val="none"/>
          <w:lang w:val="en-US" w:eastAsia="zh-CN" w:bidi="ar-SA"/>
        </w:rPr>
        <w:t>交付</w:t>
      </w:r>
      <w:r>
        <w:rPr>
          <w:rFonts w:hint="eastAsia" w:ascii="宋体" w:hAnsi="宋体" w:eastAsia="宋体" w:cs="宋体"/>
          <w:color w:val="auto"/>
          <w:kern w:val="2"/>
          <w:sz w:val="24"/>
          <w:szCs w:val="24"/>
          <w:highlight w:val="none"/>
          <w:lang w:val="en-US" w:eastAsia="zh-CN" w:bidi="ar-SA"/>
        </w:rPr>
        <w:t>期：</w:t>
      </w:r>
      <w:r>
        <w:rPr>
          <w:rFonts w:hint="eastAsia" w:ascii="宋体" w:hAnsi="宋体" w:eastAsia="宋体" w:cs="宋体"/>
          <w:color w:val="auto"/>
          <w:kern w:val="2"/>
          <w:sz w:val="24"/>
          <w:szCs w:val="24"/>
          <w:highlight w:val="none"/>
          <w:u w:val="single"/>
          <w:lang w:val="en-US" w:eastAsia="zh-CN" w:bidi="ar-SA"/>
        </w:rPr>
        <w:t xml:space="preserve"> 合同签订后</w:t>
      </w:r>
      <w:r>
        <w:rPr>
          <w:rFonts w:hint="eastAsia" w:ascii="宋体" w:hAnsi="宋体" w:cs="宋体"/>
          <w:color w:val="auto"/>
          <w:kern w:val="2"/>
          <w:sz w:val="24"/>
          <w:szCs w:val="24"/>
          <w:highlight w:val="none"/>
          <w:u w:val="single"/>
          <w:lang w:val="en-US" w:eastAsia="zh-CN" w:bidi="ar-SA"/>
        </w:rPr>
        <w:t>45天</w:t>
      </w:r>
      <w:r>
        <w:rPr>
          <w:rFonts w:hint="eastAsia" w:ascii="宋体" w:hAnsi="宋体" w:eastAsia="宋体" w:cs="宋体"/>
          <w:color w:val="auto"/>
          <w:kern w:val="2"/>
          <w:sz w:val="24"/>
          <w:szCs w:val="24"/>
          <w:highlight w:val="none"/>
          <w:u w:val="single"/>
          <w:lang w:val="en-US" w:eastAsia="zh-CN" w:bidi="ar-SA"/>
        </w:rPr>
        <w:t xml:space="preserve">内。 </w:t>
      </w:r>
      <w:bookmarkStart w:id="21" w:name="_GoBack"/>
      <w:bookmarkEnd w:id="21"/>
    </w:p>
    <w:p w14:paraId="7F31D1E6">
      <w:pPr>
        <w:pStyle w:val="2"/>
        <w:spacing w:line="360" w:lineRule="auto"/>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2、地  点：</w:t>
      </w:r>
      <w:r>
        <w:rPr>
          <w:rFonts w:hint="eastAsia" w:ascii="宋体" w:hAnsi="宋体" w:eastAsia="宋体" w:cs="宋体"/>
          <w:color w:val="auto"/>
          <w:kern w:val="2"/>
          <w:sz w:val="24"/>
          <w:szCs w:val="24"/>
          <w:highlight w:val="none"/>
          <w:u w:val="single"/>
          <w:lang w:val="en-US" w:eastAsia="zh-CN" w:bidi="ar-SA"/>
        </w:rPr>
        <w:t xml:space="preserve"> 采购人指定地点  </w:t>
      </w:r>
      <w:r>
        <w:rPr>
          <w:rFonts w:hint="eastAsia" w:ascii="宋体" w:hAnsi="宋体" w:eastAsia="宋体" w:cs="宋体"/>
          <w:color w:val="auto"/>
          <w:kern w:val="2"/>
          <w:sz w:val="24"/>
          <w:szCs w:val="24"/>
          <w:highlight w:val="none"/>
          <w:lang w:val="en-US" w:eastAsia="zh-CN" w:bidi="ar-SA"/>
        </w:rPr>
        <w:t>。</w:t>
      </w:r>
    </w:p>
    <w:p w14:paraId="1AEC91D6">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四、安装、调试及培训要求：</w:t>
      </w:r>
    </w:p>
    <w:p w14:paraId="54351F5F">
      <w:pPr>
        <w:spacing w:line="360" w:lineRule="auto"/>
        <w:ind w:left="1" w:firstLine="600" w:firstLineChars="250"/>
        <w:rPr>
          <w:rFonts w:hint="eastAsia" w:ascii="宋体" w:hAnsi="宋体" w:eastAsia="宋体" w:cs="宋体"/>
          <w:color w:val="auto"/>
          <w:sz w:val="24"/>
          <w:highlight w:val="none"/>
        </w:rPr>
      </w:pPr>
      <w:r>
        <w:rPr>
          <w:rFonts w:hint="eastAsia" w:ascii="宋体" w:hAnsi="宋体" w:eastAsia="宋体" w:cs="宋体"/>
          <w:color w:val="auto"/>
          <w:sz w:val="24"/>
          <w:highlight w:val="none"/>
        </w:rPr>
        <w:t>安装、调试及培训：</w:t>
      </w:r>
      <w:r>
        <w:rPr>
          <w:rFonts w:hint="eastAsia" w:ascii="宋体" w:hAnsi="宋体" w:cs="宋体"/>
          <w:color w:val="auto"/>
          <w:sz w:val="24"/>
          <w:highlight w:val="none"/>
          <w:lang w:eastAsia="zh-CN"/>
        </w:rPr>
        <w:t>乙方</w:t>
      </w:r>
      <w:r>
        <w:rPr>
          <w:rFonts w:hint="eastAsia" w:ascii="宋体" w:hAnsi="宋体" w:eastAsia="宋体" w:cs="宋体"/>
          <w:color w:val="auto"/>
          <w:sz w:val="24"/>
          <w:highlight w:val="none"/>
        </w:rPr>
        <w:t>负责所有货物（设备）的安装、调试、培训工作，所有费用一次包死在总价内。</w:t>
      </w:r>
      <w:r>
        <w:rPr>
          <w:rFonts w:hint="eastAsia" w:ascii="宋体" w:hAnsi="宋体" w:cs="宋体"/>
          <w:color w:val="auto"/>
          <w:sz w:val="24"/>
          <w:highlight w:val="none"/>
          <w:lang w:eastAsia="zh-CN"/>
        </w:rPr>
        <w:t>所有</w:t>
      </w:r>
      <w:r>
        <w:rPr>
          <w:rFonts w:hint="eastAsia" w:ascii="宋体" w:hAnsi="宋体" w:eastAsia="宋体" w:cs="宋体"/>
          <w:color w:val="auto"/>
          <w:sz w:val="24"/>
          <w:highlight w:val="none"/>
        </w:rPr>
        <w:t>货物（设备）安装调试完毕后，</w:t>
      </w:r>
      <w:r>
        <w:rPr>
          <w:rFonts w:hint="eastAsia" w:ascii="宋体" w:hAnsi="宋体" w:cs="宋体"/>
          <w:color w:val="auto"/>
          <w:sz w:val="24"/>
          <w:highlight w:val="none"/>
          <w:lang w:eastAsia="zh-CN"/>
        </w:rPr>
        <w:t>乙方</w:t>
      </w:r>
      <w:r>
        <w:rPr>
          <w:rFonts w:hint="eastAsia" w:ascii="宋体" w:hAnsi="宋体" w:eastAsia="宋体" w:cs="宋体"/>
          <w:color w:val="auto"/>
          <w:sz w:val="24"/>
          <w:highlight w:val="none"/>
        </w:rPr>
        <w:t>必须安排技术人员对使用单位的系统管理人员进行操作应用及维护保养方面的技能培训，使其掌握基本技能。</w:t>
      </w:r>
    </w:p>
    <w:p w14:paraId="03282054">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五、验收</w:t>
      </w:r>
      <w:bookmarkStart w:id="9" w:name="_Toc167715238"/>
      <w:bookmarkStart w:id="10" w:name="_Toc167712843"/>
      <w:bookmarkStart w:id="11" w:name="_Toc167714041"/>
      <w:r>
        <w:rPr>
          <w:rFonts w:hint="eastAsia" w:ascii="宋体" w:hAnsi="宋体" w:eastAsia="宋体" w:cs="宋体"/>
          <w:b/>
          <w:bCs/>
          <w:color w:val="auto"/>
          <w:sz w:val="24"/>
          <w:highlight w:val="none"/>
        </w:rPr>
        <w:t>:</w:t>
      </w:r>
    </w:p>
    <w:p w14:paraId="7222E5D9">
      <w:pPr>
        <w:spacing w:line="360" w:lineRule="auto"/>
        <w:ind w:left="1" w:firstLine="600" w:firstLineChars="250"/>
        <w:rPr>
          <w:rFonts w:hint="eastAsia" w:ascii="宋体" w:hAnsi="宋体" w:eastAsia="宋体" w:cs="宋体"/>
          <w:color w:val="auto"/>
          <w:sz w:val="24"/>
          <w:highlight w:val="none"/>
        </w:rPr>
      </w:pPr>
      <w:r>
        <w:rPr>
          <w:rFonts w:hint="eastAsia" w:ascii="宋体" w:hAnsi="宋体" w:eastAsia="宋体" w:cs="宋体"/>
          <w:color w:val="auto"/>
          <w:sz w:val="24"/>
          <w:highlight w:val="none"/>
        </w:rPr>
        <w:t>1、项目验收分初验和终验:</w:t>
      </w:r>
      <w:bookmarkEnd w:id="9"/>
      <w:bookmarkEnd w:id="10"/>
      <w:bookmarkEnd w:id="11"/>
      <w:bookmarkStart w:id="12" w:name="_Toc167715239"/>
      <w:bookmarkStart w:id="13" w:name="_Toc167714042"/>
      <w:bookmarkStart w:id="14" w:name="_Toc167712844"/>
    </w:p>
    <w:bookmarkEnd w:id="12"/>
    <w:bookmarkEnd w:id="13"/>
    <w:bookmarkEnd w:id="14"/>
    <w:p w14:paraId="4F97A14F">
      <w:pPr>
        <w:spacing w:line="360" w:lineRule="auto"/>
        <w:ind w:left="1" w:firstLine="600" w:firstLineChars="250"/>
        <w:rPr>
          <w:rFonts w:hint="eastAsia" w:ascii="宋体" w:hAnsi="宋体" w:eastAsia="宋体" w:cs="宋体"/>
          <w:color w:val="auto"/>
          <w:sz w:val="24"/>
          <w:highlight w:val="none"/>
        </w:rPr>
      </w:pPr>
      <w:bookmarkStart w:id="15" w:name="_Toc167715241"/>
      <w:bookmarkStart w:id="16" w:name="_Toc167712846"/>
      <w:bookmarkStart w:id="17" w:name="_Toc167714044"/>
      <w:r>
        <w:rPr>
          <w:rFonts w:hint="eastAsia" w:ascii="宋体" w:hAnsi="宋体" w:eastAsia="宋体" w:cs="宋体"/>
          <w:color w:val="auto"/>
          <w:sz w:val="24"/>
          <w:highlight w:val="none"/>
        </w:rPr>
        <w:t>初验：货物（设备）到达交货地点后，由使用单位根据合同对货物（设备）的名称、品牌、规格、型号、产地、数量进行检查。</w:t>
      </w:r>
    </w:p>
    <w:p w14:paraId="636B07CE">
      <w:pPr>
        <w:spacing w:line="360" w:lineRule="auto"/>
        <w:ind w:left="1" w:firstLine="600" w:firstLineChars="250"/>
        <w:rPr>
          <w:rFonts w:hint="eastAsia" w:ascii="宋体" w:hAnsi="宋体" w:eastAsia="宋体" w:cs="宋体"/>
          <w:color w:val="auto"/>
          <w:sz w:val="24"/>
          <w:highlight w:val="none"/>
        </w:rPr>
      </w:pPr>
      <w:r>
        <w:rPr>
          <w:rFonts w:hint="eastAsia" w:ascii="宋体" w:hAnsi="宋体" w:eastAsia="宋体" w:cs="宋体"/>
          <w:color w:val="auto"/>
          <w:sz w:val="24"/>
          <w:highlight w:val="none"/>
        </w:rPr>
        <w:t>终验：所有货物（设备）安装、调试、培训、正常运行完毕，使用单位进行终验（最终验收），合格后签发《终验合格单》。</w:t>
      </w:r>
    </w:p>
    <w:p w14:paraId="607D6924">
      <w:pPr>
        <w:numPr>
          <w:ilvl w:val="0"/>
          <w:numId w:val="0"/>
        </w:numPr>
        <w:spacing w:line="360" w:lineRule="auto"/>
        <w:ind w:firstLine="480" w:firstLineChars="200"/>
        <w:rPr>
          <w:rFonts w:hint="eastAsia" w:ascii="宋体" w:hAnsi="宋体" w:cs="宋体"/>
          <w:color w:val="auto"/>
          <w:sz w:val="24"/>
          <w:highlight w:val="none"/>
          <w:lang w:eastAsia="zh-CN"/>
        </w:rPr>
      </w:pPr>
      <w:r>
        <w:rPr>
          <w:rFonts w:hint="eastAsia" w:ascii="宋体" w:hAnsi="宋体" w:eastAsia="宋体" w:cs="宋体"/>
          <w:color w:val="auto"/>
          <w:kern w:val="2"/>
          <w:sz w:val="24"/>
          <w:szCs w:val="22"/>
          <w:lang w:val="en-US" w:eastAsia="zh-CN" w:bidi="ar-SA"/>
        </w:rPr>
        <w:t>2、</w:t>
      </w:r>
      <w:r>
        <w:rPr>
          <w:rFonts w:hint="eastAsia" w:ascii="宋体" w:hAnsi="宋体" w:eastAsia="宋体" w:cs="宋体"/>
          <w:color w:val="auto"/>
          <w:sz w:val="24"/>
          <w:highlight w:val="none"/>
        </w:rPr>
        <w:t>验收不合格的</w:t>
      </w:r>
      <w:r>
        <w:rPr>
          <w:rFonts w:hint="eastAsia" w:ascii="宋体" w:hAnsi="宋体" w:cs="宋体"/>
          <w:color w:val="auto"/>
          <w:sz w:val="24"/>
          <w:highlight w:val="none"/>
          <w:lang w:eastAsia="zh-CN"/>
        </w:rPr>
        <w:t>货物</w:t>
      </w:r>
      <w:r>
        <w:rPr>
          <w:rFonts w:hint="eastAsia" w:ascii="宋体" w:hAnsi="宋体" w:eastAsia="宋体" w:cs="宋体"/>
          <w:color w:val="auto"/>
          <w:sz w:val="24"/>
          <w:highlight w:val="none"/>
        </w:rPr>
        <w:t>（设备），</w:t>
      </w:r>
      <w:r>
        <w:rPr>
          <w:rFonts w:hint="eastAsia" w:ascii="宋体" w:hAnsi="宋体" w:cs="宋体"/>
          <w:color w:val="auto"/>
          <w:sz w:val="24"/>
          <w:highlight w:val="none"/>
          <w:lang w:eastAsia="zh-CN"/>
        </w:rPr>
        <w:t>乙方</w:t>
      </w:r>
      <w:r>
        <w:rPr>
          <w:rFonts w:hint="eastAsia" w:ascii="宋体" w:hAnsi="宋体" w:eastAsia="宋体" w:cs="宋体"/>
          <w:color w:val="auto"/>
          <w:sz w:val="24"/>
          <w:highlight w:val="none"/>
        </w:rPr>
        <w:t>必须在接到</w:t>
      </w:r>
      <w:r>
        <w:rPr>
          <w:rFonts w:hint="eastAsia" w:ascii="宋体" w:hAnsi="宋体" w:cs="宋体"/>
          <w:color w:val="auto"/>
          <w:sz w:val="24"/>
          <w:highlight w:val="none"/>
          <w:lang w:eastAsia="zh-CN"/>
        </w:rPr>
        <w:t>甲方书面</w:t>
      </w:r>
      <w:r>
        <w:rPr>
          <w:rFonts w:hint="eastAsia" w:ascii="宋体" w:hAnsi="宋体" w:eastAsia="宋体" w:cs="宋体"/>
          <w:color w:val="auto"/>
          <w:sz w:val="24"/>
          <w:highlight w:val="none"/>
        </w:rPr>
        <w:t>通知后7个日历日内确保货物（设备）通过验收。如接到通知后7个日历日内验收仍不合格，采购人可提出索赔</w:t>
      </w:r>
      <w:r>
        <w:rPr>
          <w:rFonts w:hint="eastAsia" w:ascii="宋体" w:hAnsi="宋体" w:cs="宋体"/>
          <w:color w:val="auto"/>
          <w:sz w:val="24"/>
          <w:highlight w:val="none"/>
          <w:lang w:eastAsia="zh-CN"/>
        </w:rPr>
        <w:t>或取消其供货合同。</w:t>
      </w:r>
    </w:p>
    <w:p w14:paraId="5F0B807D">
      <w:pPr>
        <w:numPr>
          <w:ilvl w:val="0"/>
          <w:numId w:val="0"/>
        </w:numPr>
        <w:spacing w:line="360" w:lineRule="auto"/>
        <w:ind w:firstLine="480" w:firstLineChars="200"/>
        <w:rPr>
          <w:rFonts w:hint="eastAsia" w:ascii="宋体" w:hAnsi="宋体" w:cs="宋体"/>
          <w:color w:val="auto"/>
          <w:sz w:val="24"/>
          <w:highlight w:val="none"/>
          <w:lang w:eastAsia="zh-CN"/>
        </w:rPr>
      </w:pPr>
      <w:r>
        <w:rPr>
          <w:rFonts w:hint="eastAsia" w:ascii="宋体" w:hAnsi="宋体" w:cs="宋体"/>
          <w:color w:val="auto"/>
          <w:sz w:val="24"/>
          <w:highlight w:val="none"/>
          <w:lang w:val="en-US" w:eastAsia="zh-CN"/>
        </w:rPr>
        <w:t>3、验收标准：符合国家及行业相关规范及标准</w:t>
      </w:r>
    </w:p>
    <w:p w14:paraId="486B99B7">
      <w:pPr>
        <w:numPr>
          <w:ilvl w:val="0"/>
          <w:numId w:val="0"/>
        </w:numPr>
        <w:spacing w:line="360" w:lineRule="auto"/>
        <w:ind w:firstLine="480" w:firstLineChars="200"/>
        <w:rPr>
          <w:rFonts w:hint="eastAsia" w:ascii="宋体" w:hAnsi="宋体" w:cs="宋体"/>
          <w:color w:val="auto"/>
          <w:sz w:val="24"/>
          <w:highlight w:val="none"/>
          <w:lang w:eastAsia="zh-CN"/>
        </w:rPr>
      </w:pPr>
      <w:r>
        <w:rPr>
          <w:rFonts w:hint="eastAsia" w:ascii="宋体" w:hAnsi="宋体" w:cs="宋体"/>
          <w:color w:val="auto"/>
          <w:sz w:val="24"/>
          <w:highlight w:val="none"/>
          <w:lang w:val="en-US" w:eastAsia="zh-CN"/>
        </w:rPr>
        <w:t>4</w:t>
      </w:r>
      <w:r>
        <w:rPr>
          <w:rFonts w:hint="eastAsia" w:ascii="宋体" w:hAnsi="宋体" w:cs="宋体"/>
          <w:color w:val="auto"/>
          <w:sz w:val="24"/>
          <w:highlight w:val="none"/>
          <w:lang w:eastAsia="zh-CN"/>
        </w:rPr>
        <w:t>、验收依据</w:t>
      </w:r>
      <w:bookmarkEnd w:id="15"/>
      <w:bookmarkEnd w:id="16"/>
      <w:bookmarkEnd w:id="17"/>
      <w:bookmarkStart w:id="18" w:name="_Toc167712847"/>
      <w:bookmarkStart w:id="19" w:name="_Toc167715242"/>
      <w:bookmarkStart w:id="20" w:name="_Toc167714045"/>
    </w:p>
    <w:p w14:paraId="113302B9">
      <w:pPr>
        <w:spacing w:line="360" w:lineRule="auto"/>
        <w:ind w:left="1" w:firstLine="600" w:firstLineChars="250"/>
        <w:rPr>
          <w:rFonts w:hint="eastAsia" w:ascii="宋体" w:hAnsi="宋体" w:eastAsia="宋体" w:cs="宋体"/>
          <w:color w:val="auto"/>
          <w:sz w:val="24"/>
          <w:highlight w:val="none"/>
        </w:rPr>
      </w:pPr>
      <w:r>
        <w:rPr>
          <w:rFonts w:hint="eastAsia" w:ascii="宋体" w:hAnsi="宋体" w:eastAsia="宋体" w:cs="宋体"/>
          <w:color w:val="auto"/>
          <w:sz w:val="24"/>
          <w:highlight w:val="none"/>
        </w:rPr>
        <w:t>（1）合同文本及合同补充文件（条款）</w:t>
      </w:r>
      <w:bookmarkEnd w:id="18"/>
      <w:bookmarkEnd w:id="19"/>
      <w:bookmarkEnd w:id="20"/>
      <w:r>
        <w:rPr>
          <w:rFonts w:hint="eastAsia" w:ascii="宋体" w:hAnsi="宋体" w:eastAsia="宋体" w:cs="宋体"/>
          <w:color w:val="auto"/>
          <w:sz w:val="24"/>
          <w:highlight w:val="none"/>
        </w:rPr>
        <w:t>。</w:t>
      </w:r>
    </w:p>
    <w:p w14:paraId="42E5BA8C">
      <w:pPr>
        <w:spacing w:line="360" w:lineRule="auto"/>
        <w:ind w:left="1" w:firstLine="600" w:firstLineChars="250"/>
        <w:rPr>
          <w:rFonts w:hint="eastAsia" w:ascii="宋体" w:hAnsi="宋体" w:eastAsia="宋体" w:cs="宋体"/>
          <w:color w:val="auto"/>
          <w:sz w:val="24"/>
          <w:highlight w:val="none"/>
        </w:rPr>
      </w:pPr>
      <w:r>
        <w:rPr>
          <w:rFonts w:hint="eastAsia" w:ascii="宋体" w:hAnsi="宋体" w:eastAsia="宋体" w:cs="宋体"/>
          <w:color w:val="auto"/>
          <w:sz w:val="24"/>
          <w:highlight w:val="none"/>
        </w:rPr>
        <w:t>（2）生产厂家授权书及售后服务承诺函。</w:t>
      </w:r>
    </w:p>
    <w:p w14:paraId="212AF61B">
      <w:pPr>
        <w:spacing w:line="360" w:lineRule="auto"/>
        <w:ind w:left="1" w:firstLine="600" w:firstLineChars="250"/>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eastAsia="zh-CN"/>
        </w:rPr>
        <w:t>招标</w:t>
      </w:r>
      <w:r>
        <w:rPr>
          <w:rFonts w:hint="eastAsia" w:ascii="宋体" w:hAnsi="宋体" w:eastAsia="宋体" w:cs="宋体"/>
          <w:color w:val="auto"/>
          <w:sz w:val="24"/>
          <w:highlight w:val="none"/>
        </w:rPr>
        <w:t>文件。</w:t>
      </w:r>
    </w:p>
    <w:p w14:paraId="5B37BE56">
      <w:pPr>
        <w:spacing w:line="360" w:lineRule="auto"/>
        <w:ind w:left="1" w:firstLine="600" w:firstLineChars="250"/>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eastAsia="zh-CN"/>
        </w:rPr>
        <w:t>中标单位</w:t>
      </w:r>
      <w:r>
        <w:rPr>
          <w:rFonts w:hint="eastAsia" w:ascii="宋体" w:hAnsi="宋体" w:eastAsia="宋体" w:cs="宋体"/>
          <w:color w:val="auto"/>
          <w:sz w:val="24"/>
          <w:highlight w:val="none"/>
        </w:rPr>
        <w:t>的</w:t>
      </w:r>
      <w:r>
        <w:rPr>
          <w:rFonts w:hint="eastAsia" w:ascii="宋体" w:hAnsi="宋体" w:eastAsia="宋体" w:cs="宋体"/>
          <w:color w:val="auto"/>
          <w:sz w:val="24"/>
          <w:highlight w:val="none"/>
          <w:lang w:eastAsia="zh-CN"/>
        </w:rPr>
        <w:t>投标</w:t>
      </w:r>
      <w:r>
        <w:rPr>
          <w:rFonts w:hint="eastAsia" w:ascii="宋体" w:hAnsi="宋体" w:eastAsia="宋体" w:cs="宋体"/>
          <w:color w:val="auto"/>
          <w:sz w:val="24"/>
          <w:highlight w:val="none"/>
        </w:rPr>
        <w:t>文件。</w:t>
      </w:r>
    </w:p>
    <w:p w14:paraId="45D9D04D">
      <w:pPr>
        <w:spacing w:line="360" w:lineRule="auto"/>
        <w:ind w:left="1" w:firstLine="600" w:firstLineChars="250"/>
        <w:rPr>
          <w:rFonts w:hint="eastAsia" w:ascii="宋体" w:hAnsi="宋体" w:eastAsia="宋体" w:cs="宋体"/>
          <w:color w:val="auto"/>
          <w:sz w:val="24"/>
          <w:highlight w:val="none"/>
        </w:rPr>
      </w:pPr>
      <w:r>
        <w:rPr>
          <w:rFonts w:hint="eastAsia" w:ascii="宋体" w:hAnsi="宋体" w:eastAsia="宋体" w:cs="宋体"/>
          <w:color w:val="auto"/>
          <w:sz w:val="24"/>
          <w:highlight w:val="none"/>
        </w:rPr>
        <w:t>（5）合同货物清单。</w:t>
      </w:r>
    </w:p>
    <w:p w14:paraId="6CFA38CD">
      <w:pPr>
        <w:spacing w:line="360" w:lineRule="auto"/>
        <w:ind w:left="1" w:firstLine="600" w:firstLineChars="250"/>
        <w:rPr>
          <w:rFonts w:hint="eastAsia" w:ascii="宋体" w:hAnsi="宋体" w:eastAsia="宋体" w:cs="宋体"/>
          <w:color w:val="auto"/>
          <w:sz w:val="24"/>
          <w:highlight w:val="none"/>
        </w:rPr>
      </w:pPr>
      <w:r>
        <w:rPr>
          <w:rFonts w:hint="eastAsia" w:ascii="宋体" w:hAnsi="宋体" w:eastAsia="宋体" w:cs="宋体"/>
          <w:color w:val="auto"/>
          <w:sz w:val="24"/>
          <w:highlight w:val="none"/>
        </w:rPr>
        <w:t>（6）生产厂家的企业资质、货物的执行标准。</w:t>
      </w:r>
    </w:p>
    <w:p w14:paraId="2A870756">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六、结算方式：</w:t>
      </w:r>
    </w:p>
    <w:p w14:paraId="1EA9BF51">
      <w:pPr>
        <w:spacing w:line="360" w:lineRule="auto"/>
        <w:ind w:firstLine="480" w:firstLineChars="200"/>
        <w:rPr>
          <w:rFonts w:hint="eastAsia" w:ascii="宋体" w:hAnsi="宋体" w:cs="宋体"/>
          <w:color w:val="auto"/>
          <w:sz w:val="24"/>
          <w:highlight w:val="yellow"/>
          <w:lang w:val="en-US" w:eastAsia="zh-CN"/>
        </w:rPr>
      </w:pPr>
      <w:r>
        <w:rPr>
          <w:rFonts w:hint="eastAsia" w:ascii="宋体" w:hAnsi="宋体" w:eastAsia="宋体" w:cs="宋体"/>
          <w:color w:val="auto"/>
          <w:sz w:val="24"/>
          <w:highlight w:val="none"/>
        </w:rPr>
        <w:t>1、付款</w:t>
      </w:r>
      <w:r>
        <w:rPr>
          <w:rFonts w:hint="eastAsia" w:ascii="宋体" w:hAnsi="宋体" w:cs="宋体"/>
          <w:color w:val="auto"/>
          <w:sz w:val="24"/>
          <w:highlight w:val="none"/>
          <w:lang w:val="en-US" w:eastAsia="zh-CN"/>
        </w:rPr>
        <w:t>方式</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合同签订后，达到付款条件起7日内，支付合同总金额的 30.00%；交付完成并验收合格后 ，达到付款条件起7日内，支付合同总金额的70.00%</w:t>
      </w:r>
      <w:r>
        <w:rPr>
          <w:rFonts w:hint="eastAsia" w:ascii="宋体" w:hAnsi="宋体" w:cs="宋体"/>
          <w:color w:val="auto"/>
          <w:sz w:val="24"/>
          <w:highlight w:val="none"/>
          <w:lang w:val="en-US" w:eastAsia="zh-CN"/>
        </w:rPr>
        <w:t>。</w:t>
      </w:r>
    </w:p>
    <w:p w14:paraId="77A3A6C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2、结算单位：由</w:t>
      </w:r>
      <w:r>
        <w:rPr>
          <w:rFonts w:hint="eastAsia" w:ascii="宋体" w:hAnsi="宋体" w:eastAsia="宋体" w:cs="宋体"/>
          <w:color w:val="auto"/>
          <w:sz w:val="24"/>
          <w:highlight w:val="none"/>
          <w:lang w:eastAsia="zh-CN"/>
        </w:rPr>
        <w:t>采购人</w:t>
      </w:r>
      <w:r>
        <w:rPr>
          <w:rFonts w:hint="eastAsia" w:ascii="宋体" w:hAnsi="宋体" w:eastAsia="宋体" w:cs="宋体"/>
          <w:color w:val="auto"/>
          <w:sz w:val="24"/>
          <w:highlight w:val="none"/>
        </w:rPr>
        <w:t>结算，</w:t>
      </w:r>
      <w:r>
        <w:rPr>
          <w:rFonts w:hint="eastAsia" w:ascii="宋体" w:hAnsi="宋体" w:cs="宋体"/>
          <w:sz w:val="24"/>
        </w:rPr>
        <w:t>甲方付款前，乙方应向甲方开具正式等额发票，否则甲方有权延迟履行付款义务</w:t>
      </w:r>
      <w:r>
        <w:rPr>
          <w:rFonts w:hint="eastAsia" w:ascii="宋体" w:hAnsi="宋体" w:eastAsia="宋体" w:cs="宋体"/>
          <w:color w:val="auto"/>
          <w:sz w:val="24"/>
          <w:highlight w:val="none"/>
        </w:rPr>
        <w:t>。</w:t>
      </w:r>
    </w:p>
    <w:p w14:paraId="5212C30C">
      <w:pPr>
        <w:autoSpaceDE w:val="0"/>
        <w:autoSpaceDN w:val="0"/>
        <w:adjustRightInd w:val="0"/>
        <w:spacing w:line="360" w:lineRule="auto"/>
        <w:ind w:firstLine="482" w:firstLineChars="200"/>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七、技术资料：</w:t>
      </w:r>
    </w:p>
    <w:p w14:paraId="29EC9C47">
      <w:pPr>
        <w:spacing w:line="360" w:lineRule="auto"/>
        <w:ind w:left="1" w:firstLine="600" w:firstLineChars="250"/>
        <w:rPr>
          <w:rFonts w:hint="eastAsia" w:ascii="宋体" w:hAnsi="宋体" w:eastAsia="宋体" w:cs="宋体"/>
          <w:color w:val="auto"/>
          <w:sz w:val="24"/>
          <w:highlight w:val="none"/>
        </w:rPr>
      </w:pPr>
      <w:r>
        <w:rPr>
          <w:rFonts w:hint="eastAsia" w:ascii="宋体" w:hAnsi="宋体" w:eastAsia="宋体" w:cs="宋体"/>
          <w:color w:val="auto"/>
          <w:sz w:val="24"/>
          <w:highlight w:val="none"/>
        </w:rPr>
        <w:t>提供更换配件的合格证、说明书等相关资料。</w:t>
      </w:r>
    </w:p>
    <w:p w14:paraId="4C880161">
      <w:pPr>
        <w:autoSpaceDE w:val="0"/>
        <w:autoSpaceDN w:val="0"/>
        <w:adjustRightInd w:val="0"/>
        <w:spacing w:line="360" w:lineRule="auto"/>
        <w:ind w:firstLine="482" w:firstLineChars="200"/>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八、双方责任</w:t>
      </w:r>
    </w:p>
    <w:p w14:paraId="5BBA17BD">
      <w:pPr>
        <w:autoSpaceDE w:val="0"/>
        <w:autoSpaceDN w:val="0"/>
        <w:adjustRightInd w:val="0"/>
        <w:spacing w:line="360" w:lineRule="auto"/>
        <w:ind w:firstLine="600" w:firstLineChars="25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1、甲方责任</w:t>
      </w:r>
    </w:p>
    <w:p w14:paraId="47171498">
      <w:pPr>
        <w:autoSpaceDE w:val="0"/>
        <w:autoSpaceDN w:val="0"/>
        <w:adjustRightInd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（1）按合同规定向乙方支付费用。</w:t>
      </w:r>
    </w:p>
    <w:p w14:paraId="303F13A9">
      <w:pPr>
        <w:autoSpaceDE w:val="0"/>
        <w:autoSpaceDN w:val="0"/>
        <w:adjustRightInd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（2）负责协调乙方工作过程中与本项目有关单位的配合问题。 </w:t>
      </w:r>
    </w:p>
    <w:p w14:paraId="0516CDC8">
      <w:pPr>
        <w:autoSpaceDE w:val="0"/>
        <w:autoSpaceDN w:val="0"/>
        <w:adjustRightInd w:val="0"/>
        <w:spacing w:line="360" w:lineRule="auto"/>
        <w:ind w:firstLine="600" w:firstLineChars="25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2、乙方责任</w:t>
      </w:r>
    </w:p>
    <w:p w14:paraId="00C85ADF">
      <w:pPr>
        <w:autoSpaceDE w:val="0"/>
        <w:autoSpaceDN w:val="0"/>
        <w:adjustRightInd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（1）乙方应根据合同的规定，在双方约定的时间内完成</w:t>
      </w:r>
      <w:r>
        <w:rPr>
          <w:rFonts w:hint="eastAsia" w:ascii="宋体" w:hAnsi="宋体" w:cs="宋体"/>
          <w:color w:val="auto"/>
          <w:sz w:val="24"/>
          <w:highlight w:val="none"/>
          <w:lang w:eastAsia="zh-CN"/>
        </w:rPr>
        <w:t>供货、安装调试等</w:t>
      </w:r>
      <w:r>
        <w:rPr>
          <w:rFonts w:hint="eastAsia" w:ascii="宋体" w:hAnsi="宋体" w:eastAsia="宋体" w:cs="宋体"/>
          <w:color w:val="auto"/>
          <w:sz w:val="24"/>
          <w:highlight w:val="none"/>
        </w:rPr>
        <w:t>项目内容。</w:t>
      </w:r>
    </w:p>
    <w:p w14:paraId="40A7F41F">
      <w:pPr>
        <w:autoSpaceDE w:val="0"/>
        <w:autoSpaceDN w:val="0"/>
        <w:adjustRightInd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（2）乙方应根据工作需要，派出相关专业的工作人员</w:t>
      </w:r>
      <w:r>
        <w:rPr>
          <w:rFonts w:hint="eastAsia" w:ascii="宋体" w:hAnsi="宋体" w:cs="宋体"/>
          <w:color w:val="auto"/>
          <w:sz w:val="24"/>
          <w:highlight w:val="none"/>
          <w:lang w:eastAsia="zh-CN"/>
        </w:rPr>
        <w:t>完成本</w:t>
      </w:r>
      <w:r>
        <w:rPr>
          <w:rFonts w:hint="eastAsia" w:ascii="宋体" w:hAnsi="宋体" w:eastAsia="宋体" w:cs="宋体"/>
          <w:color w:val="auto"/>
          <w:sz w:val="24"/>
          <w:highlight w:val="none"/>
        </w:rPr>
        <w:t>项目</w:t>
      </w:r>
      <w:r>
        <w:rPr>
          <w:rFonts w:hint="eastAsia" w:ascii="宋体" w:hAnsi="宋体" w:cs="宋体"/>
          <w:color w:val="auto"/>
          <w:sz w:val="24"/>
          <w:highlight w:val="none"/>
          <w:lang w:eastAsia="zh-CN"/>
        </w:rPr>
        <w:t>工作内容</w:t>
      </w:r>
      <w:r>
        <w:rPr>
          <w:rFonts w:hint="eastAsia" w:ascii="宋体" w:hAnsi="宋体" w:eastAsia="宋体" w:cs="宋体"/>
          <w:color w:val="auto"/>
          <w:sz w:val="24"/>
          <w:highlight w:val="none"/>
        </w:rPr>
        <w:t>。</w:t>
      </w:r>
    </w:p>
    <w:p w14:paraId="41ED6708">
      <w:pPr>
        <w:autoSpaceDE w:val="0"/>
        <w:autoSpaceDN w:val="0"/>
        <w:adjustRightInd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（3）乙方应按国家规定和本合同及</w:t>
      </w:r>
      <w:r>
        <w:rPr>
          <w:rFonts w:hint="eastAsia" w:ascii="宋体" w:hAnsi="宋体" w:eastAsia="宋体" w:cs="宋体"/>
          <w:color w:val="auto"/>
          <w:sz w:val="24"/>
          <w:highlight w:val="none"/>
          <w:lang w:eastAsia="zh-CN"/>
        </w:rPr>
        <w:t>招标</w:t>
      </w:r>
      <w:r>
        <w:rPr>
          <w:rFonts w:hint="eastAsia" w:ascii="宋体" w:hAnsi="宋体" w:eastAsia="宋体" w:cs="宋体"/>
          <w:color w:val="auto"/>
          <w:sz w:val="24"/>
          <w:highlight w:val="none"/>
        </w:rPr>
        <w:t>文件约定的规范和要求进行服务，并对货物（设备）质量负责。</w:t>
      </w:r>
    </w:p>
    <w:p w14:paraId="093646CB">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九、合同争议的解决：合同执行中发生争议的，当事人双方应协商解决，协商达不成一致时，可向人民法院提请诉讼。</w:t>
      </w:r>
    </w:p>
    <w:p w14:paraId="662F0228">
      <w:pPr>
        <w:pStyle w:val="7"/>
        <w:spacing w:line="360" w:lineRule="auto"/>
        <w:ind w:firstLine="480"/>
        <w:rPr>
          <w:rFonts w:hint="eastAsia" w:ascii="宋体" w:hAnsi="宋体" w:cs="宋体"/>
          <w:bCs/>
          <w:sz w:val="24"/>
        </w:rPr>
      </w:pPr>
      <w:r>
        <w:rPr>
          <w:rFonts w:hint="eastAsia" w:ascii="宋体" w:hAnsi="宋体" w:eastAsia="宋体" w:cs="宋体"/>
          <w:b/>
          <w:bCs/>
          <w:color w:val="auto"/>
          <w:sz w:val="24"/>
          <w:highlight w:val="none"/>
        </w:rPr>
        <w:t>十、</w:t>
      </w:r>
      <w:r>
        <w:rPr>
          <w:rFonts w:hint="eastAsia" w:ascii="宋体" w:hAnsi="宋体" w:cs="宋体"/>
          <w:b/>
          <w:bCs/>
          <w:sz w:val="24"/>
        </w:rPr>
        <w:t>不可抗力</w:t>
      </w:r>
      <w:r>
        <w:rPr>
          <w:rFonts w:hint="eastAsia" w:ascii="宋体" w:hAnsi="宋体" w:cs="宋体"/>
          <w:b/>
          <w:bCs/>
          <w:sz w:val="24"/>
          <w:lang w:eastAsia="zh-CN"/>
        </w:rPr>
        <w:t>：</w:t>
      </w:r>
      <w:r>
        <w:rPr>
          <w:rFonts w:hint="eastAsia" w:ascii="宋体" w:hAnsi="宋体" w:cs="宋体"/>
          <w:b w:val="0"/>
          <w:bCs w:val="0"/>
          <w:sz w:val="24"/>
          <w:lang w:val="en-US" w:eastAsia="zh-CN"/>
        </w:rPr>
        <w:t>1、</w:t>
      </w:r>
      <w:r>
        <w:rPr>
          <w:rFonts w:hint="eastAsia" w:ascii="宋体" w:hAnsi="宋体" w:cs="宋体"/>
          <w:sz w:val="24"/>
        </w:rPr>
        <w:t>如果双方任何一方由于遭受诸如战争、严重火灾、洪水、台风、地震等重大自然灾害、以及双方同意的其他不可抗力的事故，致使影响合同履行，履行合同的期限应予以延长，延长的期限应相当于事故所影响的时间。不可抗力事故系指甲乙双方在缔结合同时所不能预见的，并且它的发生及其后果是无法避免和无法克服的事故。</w:t>
      </w:r>
    </w:p>
    <w:p w14:paraId="2615E4AA">
      <w:pPr>
        <w:spacing w:line="360" w:lineRule="auto"/>
        <w:ind w:firstLine="480" w:firstLineChars="200"/>
        <w:rPr>
          <w:rFonts w:hint="eastAsia" w:ascii="宋体" w:hAnsi="宋体" w:eastAsia="宋体" w:cs="宋体"/>
          <w:b/>
          <w:bCs/>
          <w:color w:val="auto"/>
          <w:sz w:val="24"/>
          <w:highlight w:val="none"/>
        </w:rPr>
      </w:pPr>
      <w:r>
        <w:rPr>
          <w:rFonts w:hint="eastAsia" w:ascii="宋体" w:hAnsi="宋体" w:cs="宋体"/>
          <w:sz w:val="24"/>
        </w:rPr>
        <w:t>2、遭受不可抗力一方应在不可抗力事故发生后尽快以书面形式通知另一方；并在事故发生后</w:t>
      </w:r>
      <w:r>
        <w:rPr>
          <w:rFonts w:hint="eastAsia" w:ascii="宋体" w:hAnsi="宋体" w:cs="宋体"/>
          <w:sz w:val="24"/>
          <w:u w:val="single"/>
        </w:rPr>
        <w:t>十（10）</w:t>
      </w:r>
      <w:r>
        <w:rPr>
          <w:rFonts w:hint="eastAsia" w:ascii="宋体" w:hAnsi="宋体" w:cs="宋体"/>
          <w:sz w:val="24"/>
        </w:rPr>
        <w:t>个日历日内，将有关部门出具的证明文件、详细情况报告以及不可抗力对合同影响程度的说明用特快专递或挂号信的形式寄给另一方。如果不可抗力影响时间延续</w:t>
      </w:r>
      <w:r>
        <w:rPr>
          <w:rFonts w:hint="eastAsia" w:ascii="宋体" w:hAnsi="宋体" w:cs="宋体"/>
          <w:sz w:val="24"/>
          <w:u w:val="single"/>
        </w:rPr>
        <w:t>二十（20）</w:t>
      </w:r>
      <w:r>
        <w:rPr>
          <w:rFonts w:hint="eastAsia" w:ascii="宋体" w:hAnsi="宋体" w:cs="宋体"/>
          <w:sz w:val="24"/>
        </w:rPr>
        <w:t>个日历日以上，双方应通过友好协商在合理的时间内达成进一步履行合同或终止合同的协议。</w:t>
      </w:r>
    </w:p>
    <w:p w14:paraId="183C78D0">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十一、合同一经签订，不得擅自变更、中止或者终止合同。对确需变更、调整或者中止、终止合同的，应按规定履行相应的手续。</w:t>
      </w:r>
    </w:p>
    <w:p w14:paraId="7DCFBED6">
      <w:pPr>
        <w:spacing w:line="360" w:lineRule="auto"/>
        <w:ind w:firstLine="482" w:firstLineChars="200"/>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十二、违约责任</w:t>
      </w:r>
      <w:r>
        <w:rPr>
          <w:rFonts w:hint="eastAsia" w:ascii="宋体" w:hAnsi="宋体" w:eastAsia="宋体" w:cs="宋体"/>
          <w:color w:val="auto"/>
          <w:sz w:val="24"/>
          <w:highlight w:val="none"/>
        </w:rPr>
        <w:t>：</w:t>
      </w:r>
    </w:p>
    <w:p w14:paraId="43124668">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依据《中华人民共和国民法典》、《中华人民共和国政府采购法》的相关条款和本合同约定，</w:t>
      </w:r>
      <w:r>
        <w:rPr>
          <w:rFonts w:hint="eastAsia" w:ascii="宋体" w:hAnsi="宋体" w:cs="宋体"/>
          <w:color w:val="auto"/>
          <w:sz w:val="24"/>
          <w:highlight w:val="none"/>
          <w:lang w:eastAsia="zh-CN"/>
        </w:rPr>
        <w:t>乙方</w:t>
      </w:r>
      <w:r>
        <w:rPr>
          <w:rFonts w:hint="eastAsia" w:ascii="宋体" w:hAnsi="宋体" w:eastAsia="宋体" w:cs="宋体"/>
          <w:color w:val="auto"/>
          <w:sz w:val="24"/>
          <w:highlight w:val="none"/>
        </w:rPr>
        <w:t>未全面履行合同义务或者发生违约，采购人会同采购代理机构有权终止合同，依法向</w:t>
      </w:r>
      <w:r>
        <w:rPr>
          <w:rFonts w:hint="eastAsia" w:ascii="宋体" w:hAnsi="宋体" w:cs="宋体"/>
          <w:color w:val="auto"/>
          <w:sz w:val="24"/>
          <w:highlight w:val="none"/>
          <w:lang w:eastAsia="zh-CN"/>
        </w:rPr>
        <w:t>乙方</w:t>
      </w:r>
      <w:r>
        <w:rPr>
          <w:rFonts w:hint="eastAsia" w:ascii="宋体" w:hAnsi="宋体" w:eastAsia="宋体" w:cs="宋体"/>
          <w:color w:val="auto"/>
          <w:sz w:val="24"/>
          <w:highlight w:val="none"/>
        </w:rPr>
        <w:t>要求经济索赔，并报请政府采购监督管理机关进行相应的行政处罚。采购人违约的，应当赔偿给</w:t>
      </w:r>
      <w:r>
        <w:rPr>
          <w:rFonts w:hint="eastAsia" w:ascii="宋体" w:hAnsi="宋体" w:cs="宋体"/>
          <w:color w:val="auto"/>
          <w:sz w:val="24"/>
          <w:highlight w:val="none"/>
          <w:lang w:eastAsia="zh-CN"/>
        </w:rPr>
        <w:t>乙方</w:t>
      </w:r>
      <w:r>
        <w:rPr>
          <w:rFonts w:hint="eastAsia" w:ascii="宋体" w:hAnsi="宋体" w:eastAsia="宋体" w:cs="宋体"/>
          <w:color w:val="auto"/>
          <w:sz w:val="24"/>
          <w:highlight w:val="none"/>
        </w:rPr>
        <w:t>造成的经济损失。</w:t>
      </w:r>
    </w:p>
    <w:p w14:paraId="5284234A">
      <w:pPr>
        <w:spacing w:line="360" w:lineRule="auto"/>
        <w:ind w:firstLine="482" w:firstLineChars="200"/>
        <w:rPr>
          <w:rFonts w:hint="eastAsia" w:ascii="宋体" w:hAnsi="宋体" w:eastAsia="宋体" w:cs="宋体"/>
          <w:b/>
          <w:bCs/>
          <w:color w:val="auto"/>
          <w:sz w:val="28"/>
          <w:szCs w:val="28"/>
          <w:highlight w:val="none"/>
        </w:rPr>
      </w:pPr>
      <w:r>
        <w:rPr>
          <w:rFonts w:hint="eastAsia" w:ascii="宋体" w:hAnsi="宋体" w:eastAsia="宋体" w:cs="宋体"/>
          <w:b/>
          <w:bCs/>
          <w:color w:val="auto"/>
          <w:sz w:val="24"/>
          <w:highlight w:val="none"/>
        </w:rPr>
        <w:t>十三、本合同壹式</w:t>
      </w:r>
      <w:r>
        <w:rPr>
          <w:rFonts w:hint="eastAsia" w:ascii="宋体" w:hAnsi="宋体" w:eastAsia="宋体" w:cs="宋体"/>
          <w:b/>
          <w:bCs/>
          <w:color w:val="auto"/>
          <w:sz w:val="24"/>
          <w:highlight w:val="none"/>
          <w:u w:val="single"/>
        </w:rPr>
        <w:t xml:space="preserve">    </w:t>
      </w:r>
      <w:r>
        <w:rPr>
          <w:rFonts w:hint="eastAsia" w:ascii="宋体" w:hAnsi="宋体" w:eastAsia="宋体" w:cs="宋体"/>
          <w:b/>
          <w:bCs/>
          <w:color w:val="auto"/>
          <w:sz w:val="24"/>
          <w:highlight w:val="none"/>
        </w:rPr>
        <w:t>份，甲方</w:t>
      </w:r>
      <w:r>
        <w:rPr>
          <w:rFonts w:hint="eastAsia" w:ascii="宋体" w:hAnsi="宋体" w:eastAsia="宋体" w:cs="宋体"/>
          <w:b/>
          <w:bCs/>
          <w:color w:val="auto"/>
          <w:sz w:val="24"/>
          <w:highlight w:val="none"/>
          <w:u w:val="single"/>
        </w:rPr>
        <w:t xml:space="preserve">    </w:t>
      </w:r>
      <w:r>
        <w:rPr>
          <w:rFonts w:hint="eastAsia" w:ascii="宋体" w:hAnsi="宋体" w:eastAsia="宋体" w:cs="宋体"/>
          <w:b/>
          <w:bCs/>
          <w:color w:val="auto"/>
          <w:sz w:val="24"/>
          <w:highlight w:val="none"/>
        </w:rPr>
        <w:t>份，乙方</w:t>
      </w:r>
      <w:r>
        <w:rPr>
          <w:rFonts w:hint="eastAsia" w:ascii="宋体" w:hAnsi="宋体" w:eastAsia="宋体" w:cs="宋体"/>
          <w:b/>
          <w:bCs/>
          <w:color w:val="auto"/>
          <w:sz w:val="24"/>
          <w:highlight w:val="none"/>
          <w:u w:val="single"/>
        </w:rPr>
        <w:t xml:space="preserve">    </w:t>
      </w:r>
      <w:r>
        <w:rPr>
          <w:rFonts w:hint="eastAsia" w:ascii="宋体" w:hAnsi="宋体" w:eastAsia="宋体" w:cs="宋体"/>
          <w:b/>
          <w:bCs/>
          <w:color w:val="auto"/>
          <w:sz w:val="24"/>
          <w:highlight w:val="none"/>
        </w:rPr>
        <w:t>份。各方签字盖章后生效，合同执行完毕自动失效。</w:t>
      </w:r>
    </w:p>
    <w:p w14:paraId="69D53EBE">
      <w:pPr>
        <w:widowControl/>
        <w:tabs>
          <w:tab w:val="left" w:pos="8391"/>
        </w:tabs>
        <w:autoSpaceDE w:val="0"/>
        <w:autoSpaceDN w:val="0"/>
        <w:snapToGrid w:val="0"/>
        <w:spacing w:line="360" w:lineRule="auto"/>
        <w:ind w:right="-69" w:firstLine="840" w:firstLineChars="350"/>
        <w:textAlignment w:val="bottom"/>
        <w:rPr>
          <w:rFonts w:hint="eastAsia" w:ascii="宋体" w:hAnsi="宋体" w:eastAsia="宋体" w:cs="宋体"/>
          <w:color w:val="auto"/>
          <w:kern w:val="0"/>
          <w:sz w:val="24"/>
          <w:highlight w:val="none"/>
        </w:rPr>
      </w:pPr>
    </w:p>
    <w:p w14:paraId="22CE8002">
      <w:pPr>
        <w:widowControl/>
        <w:jc w:val="left"/>
        <w:rPr>
          <w:rFonts w:hint="eastAsia" w:ascii="宋体" w:hAnsi="宋体" w:eastAsia="宋体" w:cs="宋体"/>
          <w:color w:val="auto"/>
          <w:highlight w:val="none"/>
        </w:rPr>
      </w:pPr>
    </w:p>
    <w:tbl>
      <w:tblPr>
        <w:tblStyle w:val="4"/>
        <w:tblW w:w="0" w:type="auto"/>
        <w:jc w:val="center"/>
        <w:tblLayout w:type="fixed"/>
        <w:tblCellMar>
          <w:top w:w="0" w:type="dxa"/>
          <w:left w:w="108" w:type="dxa"/>
          <w:bottom w:w="0" w:type="dxa"/>
          <w:right w:w="108" w:type="dxa"/>
        </w:tblCellMar>
      </w:tblPr>
      <w:tblGrid>
        <w:gridCol w:w="4643"/>
        <w:gridCol w:w="4643"/>
      </w:tblGrid>
      <w:tr w14:paraId="52393AD2">
        <w:tblPrEx>
          <w:tblCellMar>
            <w:top w:w="0" w:type="dxa"/>
            <w:left w:w="108" w:type="dxa"/>
            <w:bottom w:w="0" w:type="dxa"/>
            <w:right w:w="108" w:type="dxa"/>
          </w:tblCellMar>
        </w:tblPrEx>
        <w:trPr>
          <w:jc w:val="center"/>
        </w:trPr>
        <w:tc>
          <w:tcPr>
            <w:tcW w:w="4643" w:type="dxa"/>
            <w:noWrap w:val="0"/>
            <w:vAlign w:val="top"/>
          </w:tcPr>
          <w:p w14:paraId="27E53D57">
            <w:pPr>
              <w:widowControl/>
              <w:autoSpaceDE w:val="0"/>
              <w:autoSpaceDN w:val="0"/>
              <w:snapToGrid w:val="0"/>
              <w:spacing w:line="360" w:lineRule="auto"/>
              <w:ind w:right="-154"/>
              <w:textAlignment w:val="bottom"/>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甲方名称</w:t>
            </w:r>
            <w:r>
              <w:rPr>
                <w:rFonts w:hint="eastAsia" w:ascii="宋体" w:hAnsi="宋体" w:eastAsia="宋体" w:cs="宋体"/>
                <w:color w:val="auto"/>
                <w:spacing w:val="-20"/>
                <w:kern w:val="0"/>
                <w:sz w:val="24"/>
                <w:highlight w:val="none"/>
              </w:rPr>
              <w:t>（盖章）</w:t>
            </w:r>
            <w:r>
              <w:rPr>
                <w:rFonts w:hint="eastAsia" w:ascii="宋体" w:hAnsi="宋体" w:eastAsia="宋体" w:cs="宋体"/>
                <w:color w:val="auto"/>
                <w:kern w:val="0"/>
                <w:sz w:val="24"/>
                <w:highlight w:val="none"/>
              </w:rPr>
              <w:t>:</w:t>
            </w:r>
          </w:p>
          <w:p w14:paraId="69407683">
            <w:pPr>
              <w:widowControl/>
              <w:autoSpaceDE w:val="0"/>
              <w:autoSpaceDN w:val="0"/>
              <w:snapToGrid w:val="0"/>
              <w:spacing w:line="360" w:lineRule="auto"/>
              <w:ind w:right="-154"/>
              <w:textAlignment w:val="bottom"/>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地址：</w:t>
            </w:r>
          </w:p>
          <w:p w14:paraId="64942789">
            <w:pPr>
              <w:widowControl/>
              <w:autoSpaceDE w:val="0"/>
              <w:autoSpaceDN w:val="0"/>
              <w:snapToGrid w:val="0"/>
              <w:spacing w:line="360" w:lineRule="auto"/>
              <w:ind w:right="-154"/>
              <w:textAlignment w:val="bottom"/>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代表人（签字）：</w:t>
            </w:r>
          </w:p>
          <w:p w14:paraId="76AA5C84">
            <w:pPr>
              <w:widowControl/>
              <w:autoSpaceDE w:val="0"/>
              <w:autoSpaceDN w:val="0"/>
              <w:snapToGrid w:val="0"/>
              <w:spacing w:line="360" w:lineRule="auto"/>
              <w:ind w:right="-154"/>
              <w:textAlignment w:val="bottom"/>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电话：</w:t>
            </w:r>
          </w:p>
          <w:p w14:paraId="42033572">
            <w:pPr>
              <w:widowControl/>
              <w:autoSpaceDE w:val="0"/>
              <w:autoSpaceDN w:val="0"/>
              <w:snapToGrid w:val="0"/>
              <w:spacing w:line="360" w:lineRule="auto"/>
              <w:ind w:right="-154"/>
              <w:textAlignment w:val="bottom"/>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开户银行：</w:t>
            </w:r>
          </w:p>
          <w:p w14:paraId="032B54B0">
            <w:pPr>
              <w:widowControl/>
              <w:autoSpaceDE w:val="0"/>
              <w:autoSpaceDN w:val="0"/>
              <w:snapToGrid w:val="0"/>
              <w:spacing w:line="360" w:lineRule="auto"/>
              <w:ind w:right="-154"/>
              <w:textAlignment w:val="bottom"/>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帐号：</w:t>
            </w:r>
          </w:p>
        </w:tc>
        <w:tc>
          <w:tcPr>
            <w:tcW w:w="4643" w:type="dxa"/>
            <w:noWrap w:val="0"/>
            <w:vAlign w:val="top"/>
          </w:tcPr>
          <w:p w14:paraId="3AC76E36">
            <w:pPr>
              <w:widowControl/>
              <w:autoSpaceDE w:val="0"/>
              <w:autoSpaceDN w:val="0"/>
              <w:snapToGrid w:val="0"/>
              <w:spacing w:line="360" w:lineRule="auto"/>
              <w:ind w:right="-154"/>
              <w:textAlignment w:val="bottom"/>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乙方名称</w:t>
            </w:r>
            <w:r>
              <w:rPr>
                <w:rFonts w:hint="eastAsia" w:ascii="宋体" w:hAnsi="宋体" w:eastAsia="宋体" w:cs="宋体"/>
                <w:color w:val="auto"/>
                <w:spacing w:val="-20"/>
                <w:kern w:val="0"/>
                <w:sz w:val="24"/>
                <w:highlight w:val="none"/>
              </w:rPr>
              <w:t>（盖章）</w:t>
            </w:r>
            <w:r>
              <w:rPr>
                <w:rFonts w:hint="eastAsia" w:ascii="宋体" w:hAnsi="宋体" w:eastAsia="宋体" w:cs="宋体"/>
                <w:color w:val="auto"/>
                <w:kern w:val="0"/>
                <w:sz w:val="24"/>
                <w:highlight w:val="none"/>
              </w:rPr>
              <w:t>:</w:t>
            </w:r>
          </w:p>
          <w:p w14:paraId="50CE2B33">
            <w:pPr>
              <w:widowControl/>
              <w:autoSpaceDE w:val="0"/>
              <w:autoSpaceDN w:val="0"/>
              <w:snapToGrid w:val="0"/>
              <w:spacing w:line="360" w:lineRule="auto"/>
              <w:ind w:right="-154"/>
              <w:textAlignment w:val="bottom"/>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地址：</w:t>
            </w:r>
          </w:p>
          <w:p w14:paraId="500ED91C">
            <w:pPr>
              <w:widowControl/>
              <w:autoSpaceDE w:val="0"/>
              <w:autoSpaceDN w:val="0"/>
              <w:snapToGrid w:val="0"/>
              <w:spacing w:line="360" w:lineRule="auto"/>
              <w:ind w:right="-154"/>
              <w:textAlignment w:val="bottom"/>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代表人（签字）：</w:t>
            </w:r>
          </w:p>
          <w:p w14:paraId="2F81F14E">
            <w:pPr>
              <w:widowControl/>
              <w:autoSpaceDE w:val="0"/>
              <w:autoSpaceDN w:val="0"/>
              <w:snapToGrid w:val="0"/>
              <w:spacing w:line="360" w:lineRule="auto"/>
              <w:ind w:right="-154"/>
              <w:textAlignment w:val="bottom"/>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电话：</w:t>
            </w:r>
          </w:p>
          <w:p w14:paraId="6748669B">
            <w:pPr>
              <w:widowControl/>
              <w:autoSpaceDE w:val="0"/>
              <w:autoSpaceDN w:val="0"/>
              <w:snapToGrid w:val="0"/>
              <w:spacing w:line="360" w:lineRule="auto"/>
              <w:ind w:right="-154"/>
              <w:textAlignment w:val="bottom"/>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开户银行：</w:t>
            </w:r>
          </w:p>
          <w:p w14:paraId="0A55ED81">
            <w:pPr>
              <w:widowControl/>
              <w:autoSpaceDE w:val="0"/>
              <w:autoSpaceDN w:val="0"/>
              <w:snapToGrid w:val="0"/>
              <w:spacing w:line="360" w:lineRule="auto"/>
              <w:ind w:right="-154"/>
              <w:textAlignment w:val="bottom"/>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帐号：</w:t>
            </w:r>
          </w:p>
        </w:tc>
      </w:tr>
    </w:tbl>
    <w:p w14:paraId="0F41877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45329B"/>
    <w:rsid w:val="2D493262"/>
    <w:rsid w:val="43FD0CF7"/>
    <w:rsid w:val="4E4359C8"/>
    <w:rsid w:val="55800CA3"/>
    <w:rsid w:val="7F956A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style>
  <w:style w:type="paragraph" w:styleId="3">
    <w:name w:val="Plain Text"/>
    <w:basedOn w:val="1"/>
    <w:qFormat/>
    <w:uiPriority w:val="0"/>
    <w:rPr>
      <w:rFonts w:ascii="宋体" w:hAnsi="Courier New" w:cs="Courier New"/>
      <w:szCs w:val="21"/>
    </w:rPr>
  </w:style>
  <w:style w:type="paragraph" w:styleId="6">
    <w:name w:val="List Paragraph"/>
    <w:basedOn w:val="1"/>
    <w:qFormat/>
    <w:uiPriority w:val="0"/>
    <w:pPr>
      <w:ind w:firstLine="420"/>
    </w:pPr>
    <w:rPr>
      <w:rFonts w:cs="Calibri"/>
    </w:rPr>
  </w:style>
  <w:style w:type="paragraph" w:customStyle="1" w:styleId="7">
    <w:name w:val="列出段落1"/>
    <w:basedOn w:val="1"/>
    <w:qFormat/>
    <w:uiPriority w:val="99"/>
    <w:pPr>
      <w:ind w:firstLine="420" w:firstLineChars="200"/>
    </w:p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1752</Words>
  <Characters>1771</Characters>
  <Lines>0</Lines>
  <Paragraphs>0</Paragraphs>
  <TotalTime>0</TotalTime>
  <ScaleCrop>false</ScaleCrop>
  <LinksUpToDate>false</LinksUpToDate>
  <CharactersWithSpaces>1839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2025-05-19T06:24:00Z</dcterms:created>
  <dc:creator>Administrator</dc:creator>
  <cp:lastModifiedBy>bling  bling</cp:lastModifiedBy>
  <dcterms:modified xsi:type="dcterms:W3CDTF">2026-04-02T02:30:51Z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eyJoZGlkIjoiOTM4MWZlYzIyYzlkNWU5YzViOGVkNzkwNTQwYWY4NTMiLCJ1c2VySWQiOiI1NTAzMTkyMTcifQ==</vt:lpwstr>
  </property>
  <property fmtid="{D5CDD505-2E9C-101B-9397-08002B2CF9AE}" pid="4" name="ICV">
    <vt:lpwstr>7AA468E8D760425C9D951F787201F7B1_12</vt:lpwstr>
  </property>
</Properties>
</file>