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版本号：ZZTT-CG-2026-0920260417002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永垣陵安防工程项目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ZZTT-CG-2026-09</w:t>
      </w:r>
      <w:r>
        <w:br/>
      </w:r>
      <w:r>
        <w:br/>
      </w:r>
      <w:r>
        <w:br/>
      </w:r>
    </w:p>
    <w:p>
      <w:pPr>
        <w:pStyle w:val="null3"/>
        <w:jc w:val="center"/>
        <w:outlineLvl w:val="2"/>
      </w:pPr>
      <w:r>
        <w:rPr>
          <w:rFonts w:ascii="仿宋_GB2312" w:hAnsi="仿宋_GB2312" w:cs="仿宋_GB2312" w:eastAsia="仿宋_GB2312"/>
          <w:sz w:val="28"/>
          <w:b/>
        </w:rPr>
        <w:t>白水县文物管理所</w:t>
      </w:r>
    </w:p>
    <w:p>
      <w:pPr>
        <w:pStyle w:val="null3"/>
        <w:jc w:val="center"/>
        <w:outlineLvl w:val="2"/>
      </w:pPr>
      <w:r>
        <w:rPr>
          <w:rFonts w:ascii="仿宋_GB2312" w:hAnsi="仿宋_GB2312" w:cs="仿宋_GB2312" w:eastAsia="仿宋_GB2312"/>
          <w:sz w:val="28"/>
          <w:b/>
        </w:rPr>
        <w:t>陕西中正天投项目管理有限公司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陕西中正天投项目管理有限公司</w:t>
      </w:r>
      <w:r>
        <w:rPr>
          <w:rFonts w:ascii="仿宋_GB2312" w:hAnsi="仿宋_GB2312" w:cs="仿宋_GB2312" w:eastAsia="仿宋_GB2312"/>
        </w:rPr>
        <w:t>（以下简称“代理机构”）受</w:t>
      </w:r>
      <w:r>
        <w:rPr>
          <w:rFonts w:ascii="仿宋_GB2312" w:hAnsi="仿宋_GB2312" w:cs="仿宋_GB2312" w:eastAsia="仿宋_GB2312"/>
        </w:rPr>
        <w:t>白水县文物管理所</w:t>
      </w:r>
      <w:r>
        <w:rPr>
          <w:rFonts w:ascii="仿宋_GB2312" w:hAnsi="仿宋_GB2312" w:cs="仿宋_GB2312" w:eastAsia="仿宋_GB2312"/>
        </w:rPr>
        <w:t>委托，拟对</w:t>
      </w:r>
      <w:r>
        <w:rPr>
          <w:rFonts w:ascii="仿宋_GB2312" w:hAnsi="仿宋_GB2312" w:cs="仿宋_GB2312" w:eastAsia="仿宋_GB2312"/>
        </w:rPr>
        <w:t>永垣陵安防工程项目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ZZTT-CG-2026-09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永垣陵安防工程项目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落实永垣陵文物保护点安全防护需求，本次采购按照野外陵墓的要求建立一套全维度技术防范系统，核心部署红外高清一体化摄像机，实现24小时视频监控、图像复核等功能，实现对文物保护点、核心区域的全覆盖监控。同时配套建设入侵报警、供电保障、数据传输等辅助系统，保障文物本体、保护范围及建设控制地带的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采购包1（永垣陵安防工程项目）：属于专门面向中小企业采购。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1、法定代表人授权书/被授权人身份证明：法定代表人直接参加磋商的，须出具法定代表人身份证明书；法定代表人授权代表参加磋商的，须出具法定代表人身份证明及法定代表人授权委托书</w:t>
      </w:r>
    </w:p>
    <w:p>
      <w:pPr>
        <w:pStyle w:val="null3"/>
      </w:pPr>
      <w:r>
        <w:rPr>
          <w:rFonts w:ascii="仿宋_GB2312" w:hAnsi="仿宋_GB2312" w:cs="仿宋_GB2312" w:eastAsia="仿宋_GB2312"/>
        </w:rPr>
        <w:t>2、信用记录：①供应商及其法定代表人不得为“中国执行信息公开网”失信被执行人；②供应商不得被“信用中国”列入重大税收违法案件当事人名单；③供应商不得为“中国政府采购网”政府采购严重违法失信行为记录名单中被财政部门禁止参加政府采购活动的供应商</w:t>
      </w:r>
    </w:p>
    <w:p>
      <w:pPr>
        <w:pStyle w:val="null3"/>
      </w:pPr>
      <w:r>
        <w:rPr>
          <w:rFonts w:ascii="仿宋_GB2312" w:hAnsi="仿宋_GB2312" w:cs="仿宋_GB2312" w:eastAsia="仿宋_GB2312"/>
        </w:rPr>
        <w:t>3、企业及项目负责人资格：①企业资质：具备电子与智能化工程专业承包二级或其以上资质，具有有效的安全生产许可证； ②项目经理资格：具备机电工程专业二级及以上注册建造师证书，在本单位注册，并提供安全生产考核证(建安B证)，无在建工程证明；</w:t>
      </w:r>
    </w:p>
    <w:p>
      <w:pPr>
        <w:pStyle w:val="null3"/>
      </w:pPr>
      <w:r>
        <w:rPr>
          <w:rFonts w:ascii="仿宋_GB2312" w:hAnsi="仿宋_GB2312" w:cs="仿宋_GB2312" w:eastAsia="仿宋_GB2312"/>
        </w:rPr>
        <w:t>4、磋商保证金：提供磋商保证金缴纳凭证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白水县人民路中段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0913-6181056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陕西中正天投项目管理有限公司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18182691002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采购包1：1,223,646.72元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 陕西中正天投项目管理有限公司</w:t>
            </w:r>
          </w:p>
          <w:p>
            <w:pPr>
              <w:pStyle w:val="null3"/>
            </w:pPr>
            <w:r>
              <w:rPr>
                <w:rFonts w:ascii="仿宋_GB2312" w:hAnsi="仿宋_GB2312" w:cs="仿宋_GB2312" w:eastAsia="仿宋_GB2312"/>
              </w:rPr>
              <w:t>开户银行： 交通银行西安北辰大道支行</w:t>
            </w:r>
          </w:p>
          <w:p>
            <w:pPr>
              <w:pStyle w:val="null3"/>
            </w:pPr>
            <w:r>
              <w:rPr>
                <w:rFonts w:ascii="仿宋_GB2312" w:hAnsi="仿宋_GB2312" w:cs="仿宋_GB2312" w:eastAsia="仿宋_GB2312"/>
              </w:rPr>
              <w:t>银行账号：611301014013000111177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代理服务费收费标准：参照国家计委《招标代理服务收费管理暂行办法》(计价格[2002]1980号)、国家发展和改革委员会《国家发改委办公厅关于招标代理服务收费有关问题的通知》(发改办价格[2003]857号)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白水县文物管理所</w:t>
      </w:r>
      <w:r>
        <w:rPr>
          <w:rFonts w:ascii="仿宋_GB2312" w:hAnsi="仿宋_GB2312" w:cs="仿宋_GB2312" w:eastAsia="仿宋_GB2312"/>
        </w:rPr>
        <w:t>和</w:t>
      </w:r>
      <w:r>
        <w:rPr>
          <w:rFonts w:ascii="仿宋_GB2312" w:hAnsi="仿宋_GB2312" w:cs="仿宋_GB2312" w:eastAsia="仿宋_GB2312"/>
        </w:rPr>
        <w:t>陕西中正天投项目管理有限公司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陕西中正天投项目管理有限公司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陕西中正天投项目管理有限公司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陕西中正天投项目管理有限公司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联系人：同公告中联系人及联系方式</w:t>
      </w:r>
    </w:p>
    <w:p>
      <w:pPr>
        <w:pStyle w:val="null3"/>
      </w:pPr>
      <w:r>
        <w:rPr>
          <w:rFonts w:ascii="仿宋_GB2312" w:hAnsi="仿宋_GB2312" w:cs="仿宋_GB2312" w:eastAsia="仿宋_GB2312"/>
        </w:rPr>
        <w:t>联系电话：同公告中联系人及联系方式</w:t>
      </w:r>
    </w:p>
    <w:p>
      <w:pPr>
        <w:pStyle w:val="null3"/>
      </w:pPr>
      <w:r>
        <w:rPr>
          <w:rFonts w:ascii="仿宋_GB2312" w:hAnsi="仿宋_GB2312" w:cs="仿宋_GB2312" w:eastAsia="仿宋_GB2312"/>
        </w:rPr>
        <w:t>地址：同公告中地址</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1,223,646.72</w:t>
      </w:r>
    </w:p>
    <w:p>
      <w:pPr>
        <w:pStyle w:val="null3"/>
      </w:pPr>
      <w:r>
        <w:rPr>
          <w:rFonts w:ascii="仿宋_GB2312" w:hAnsi="仿宋_GB2312" w:cs="仿宋_GB2312" w:eastAsia="仿宋_GB2312"/>
        </w:rPr>
        <w:t>采购包最高限价（元）: 1,223,646.72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永垣陵安防工程项目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1,223,646.72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永垣陵安防工程项目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一、标准规范执行要求</w:t>
            </w:r>
          </w:p>
          <w:p>
            <w:pPr>
              <w:pStyle w:val="null3"/>
              <w:ind w:firstLine="560"/>
              <w:jc w:val="both"/>
            </w:pPr>
            <w:r>
              <w:rPr>
                <w:rFonts w:ascii="仿宋_GB2312" w:hAnsi="仿宋_GB2312" w:cs="仿宋_GB2312" w:eastAsia="仿宋_GB2312"/>
                <w:sz w:val="28"/>
              </w:rPr>
              <w:t>1、本工程项目的材料、设备、施工必须符合国家有关工程建设标准强制性条文和国家或有关部门关于工程施工方面现行的标准、规范、规定以及省、市相关文件规定。</w:t>
            </w:r>
          </w:p>
          <w:p>
            <w:pPr>
              <w:pStyle w:val="null3"/>
              <w:ind w:firstLine="560"/>
              <w:jc w:val="both"/>
            </w:pPr>
            <w:r>
              <w:rPr>
                <w:rFonts w:ascii="仿宋_GB2312" w:hAnsi="仿宋_GB2312" w:cs="仿宋_GB2312" w:eastAsia="仿宋_GB2312"/>
                <w:sz w:val="28"/>
              </w:rPr>
              <w:t>2、在施工过程中，如果国家或有关部门颁布了新的技术标准或规范，则承包人须无条件按最新标准调整施工方案施工，确保工程合规性。</w:t>
            </w:r>
          </w:p>
          <w:p>
            <w:pPr>
              <w:pStyle w:val="null3"/>
              <w:ind w:firstLine="560"/>
              <w:jc w:val="both"/>
            </w:pPr>
            <w:r>
              <w:rPr>
                <w:rFonts w:ascii="仿宋_GB2312" w:hAnsi="仿宋_GB2312" w:cs="仿宋_GB2312" w:eastAsia="仿宋_GB2312"/>
                <w:sz w:val="28"/>
              </w:rPr>
              <w:t>3、有关标准、要求不一致时，以要求最高（最严格）者标准为准，涉及文物保护的特殊要求，优先按照文物主管部门批复的标准执行。</w:t>
            </w:r>
          </w:p>
          <w:p>
            <w:pPr>
              <w:pStyle w:val="null3"/>
              <w:ind w:left="645"/>
              <w:jc w:val="both"/>
            </w:pPr>
            <w:r>
              <w:rPr>
                <w:rFonts w:ascii="仿宋_GB2312" w:hAnsi="仿宋_GB2312" w:cs="仿宋_GB2312" w:eastAsia="仿宋_GB2312"/>
                <w:sz w:val="28"/>
                <w:b/>
              </w:rPr>
              <w:t>二、施工安全与责任要求</w:t>
            </w:r>
          </w:p>
          <w:p>
            <w:pPr>
              <w:pStyle w:val="null3"/>
              <w:ind w:firstLine="560"/>
              <w:jc w:val="both"/>
            </w:pPr>
            <w:r>
              <w:rPr>
                <w:rFonts w:ascii="仿宋_GB2312" w:hAnsi="仿宋_GB2312" w:cs="仿宋_GB2312" w:eastAsia="仿宋_GB2312"/>
                <w:sz w:val="28"/>
              </w:rPr>
              <w:t>施工单位在施工期间应严格遵守国家、省、市有关施工安全以及文明施等规定，建立规章制度和防护措施</w:t>
            </w:r>
            <w:r>
              <w:rPr>
                <w:rFonts w:ascii="仿宋_GB2312" w:hAnsi="仿宋_GB2312" w:cs="仿宋_GB2312" w:eastAsia="仿宋_GB2312"/>
                <w:sz w:val="28"/>
              </w:rPr>
              <w:t>,应按安全施工的要求，采取严格科学的安全措施，确保施工安全和第三者的安全，确保工程质量和生产安全。否则，由此造成的经济和法律责任均由中标人负责。</w:t>
            </w:r>
          </w:p>
          <w:p>
            <w:pPr>
              <w:pStyle w:val="null3"/>
              <w:ind w:firstLine="562"/>
              <w:jc w:val="both"/>
            </w:pPr>
            <w:r>
              <w:rPr>
                <w:rFonts w:ascii="仿宋_GB2312" w:hAnsi="仿宋_GB2312" w:cs="仿宋_GB2312" w:eastAsia="仿宋_GB2312"/>
                <w:sz w:val="28"/>
                <w:b/>
              </w:rPr>
              <w:t>三、质量、工期、售后等要求</w:t>
            </w:r>
          </w:p>
          <w:p>
            <w:pPr>
              <w:pStyle w:val="null3"/>
              <w:ind w:firstLine="560"/>
              <w:jc w:val="both"/>
            </w:pPr>
            <w:r>
              <w:rPr>
                <w:rFonts w:ascii="仿宋_GB2312" w:hAnsi="仿宋_GB2312" w:cs="仿宋_GB2312" w:eastAsia="仿宋_GB2312"/>
                <w:sz w:val="28"/>
              </w:rPr>
              <w:t>1、工期：60日历天。</w:t>
            </w:r>
          </w:p>
          <w:p>
            <w:pPr>
              <w:pStyle w:val="null3"/>
              <w:ind w:firstLine="560"/>
              <w:jc w:val="both"/>
            </w:pPr>
            <w:r>
              <w:rPr>
                <w:rFonts w:ascii="仿宋_GB2312" w:hAnsi="仿宋_GB2312" w:cs="仿宋_GB2312" w:eastAsia="仿宋_GB2312"/>
                <w:sz w:val="28"/>
              </w:rPr>
              <w:t>2、质保期：工程竣工验收合格后2年。</w:t>
            </w:r>
          </w:p>
          <w:p>
            <w:pPr>
              <w:pStyle w:val="null3"/>
              <w:ind w:firstLine="560"/>
              <w:jc w:val="both"/>
            </w:pPr>
            <w:r>
              <w:rPr>
                <w:rFonts w:ascii="仿宋_GB2312" w:hAnsi="仿宋_GB2312" w:cs="仿宋_GB2312" w:eastAsia="仿宋_GB2312"/>
                <w:sz w:val="28"/>
              </w:rPr>
              <w:t>3、质量标准：达到国家现行验收规范“合格”标准。</w:t>
            </w:r>
          </w:p>
          <w:p>
            <w:pPr>
              <w:pStyle w:val="null3"/>
              <w:ind w:firstLine="560"/>
              <w:jc w:val="both"/>
            </w:pPr>
            <w:r>
              <w:rPr>
                <w:rFonts w:ascii="仿宋_GB2312" w:hAnsi="仿宋_GB2312" w:cs="仿宋_GB2312" w:eastAsia="仿宋_GB2312"/>
                <w:sz w:val="28"/>
              </w:rPr>
              <w:t>4、定期保养维修,确保系统安全、稳定、可靠运行。</w:t>
            </w:r>
          </w:p>
          <w:p>
            <w:pPr>
              <w:pStyle w:val="null3"/>
              <w:ind w:firstLine="560"/>
              <w:jc w:val="both"/>
            </w:pPr>
            <w:r>
              <w:rPr>
                <w:rFonts w:ascii="仿宋_GB2312" w:hAnsi="仿宋_GB2312" w:cs="仿宋_GB2312" w:eastAsia="仿宋_GB2312"/>
                <w:sz w:val="28"/>
              </w:rPr>
              <w:t>5、实行7*24小时技术支持。</w:t>
            </w:r>
          </w:p>
          <w:p>
            <w:pPr>
              <w:pStyle w:val="null3"/>
              <w:ind w:firstLine="560"/>
              <w:jc w:val="both"/>
            </w:pPr>
            <w:r>
              <w:rPr>
                <w:rFonts w:ascii="仿宋_GB2312" w:hAnsi="仿宋_GB2312" w:cs="仿宋_GB2312" w:eastAsia="仿宋_GB2312"/>
                <w:sz w:val="28"/>
              </w:rPr>
              <w:t>6、远程不能解决的故障，在8小时之内赶赴现场进行处理。</w:t>
            </w:r>
          </w:p>
          <w:p>
            <w:pPr>
              <w:pStyle w:val="null3"/>
              <w:ind w:firstLine="560"/>
              <w:jc w:val="both"/>
            </w:pPr>
            <w:r>
              <w:rPr>
                <w:rFonts w:ascii="仿宋_GB2312" w:hAnsi="仿宋_GB2312" w:cs="仿宋_GB2312" w:eastAsia="仿宋_GB2312"/>
                <w:sz w:val="28"/>
              </w:rPr>
              <w:t>7、建立维修记录手册制度。由维修人员记录，由人员保管存档。</w:t>
            </w:r>
          </w:p>
          <w:p>
            <w:pPr>
              <w:pStyle w:val="null3"/>
              <w:ind w:firstLine="560"/>
              <w:jc w:val="both"/>
            </w:pPr>
            <w:r>
              <w:rPr>
                <w:rFonts w:ascii="仿宋_GB2312" w:hAnsi="仿宋_GB2312" w:cs="仿宋_GB2312" w:eastAsia="仿宋_GB2312"/>
                <w:sz w:val="28"/>
              </w:rPr>
              <w:t>8、施工单位必须对有关人员进行操作技术培训，使系统主要使用人员能独立操作，培训内容应征得我单位同意，并提供系统及相关设备操作和日常维护的说明、方法等技术资料。</w:t>
            </w:r>
          </w:p>
          <w:p>
            <w:pPr>
              <w:pStyle w:val="null3"/>
              <w:ind w:firstLine="562"/>
              <w:jc w:val="both"/>
            </w:pPr>
            <w:r>
              <w:rPr>
                <w:rFonts w:ascii="仿宋_GB2312" w:hAnsi="仿宋_GB2312" w:cs="仿宋_GB2312" w:eastAsia="仿宋_GB2312"/>
                <w:sz w:val="28"/>
                <w:b/>
              </w:rPr>
              <w:t>四、验收标准</w:t>
            </w:r>
          </w:p>
          <w:p>
            <w:pPr>
              <w:pStyle w:val="null3"/>
              <w:ind w:firstLine="560"/>
              <w:jc w:val="both"/>
            </w:pPr>
            <w:r>
              <w:rPr>
                <w:rFonts w:ascii="仿宋_GB2312" w:hAnsi="仿宋_GB2312" w:cs="仿宋_GB2312" w:eastAsia="仿宋_GB2312"/>
                <w:sz w:val="28"/>
              </w:rPr>
              <w:t>1、验收标准按照国家、行业有关规范和要求执行。</w:t>
            </w:r>
          </w:p>
          <w:p>
            <w:pPr>
              <w:pStyle w:val="null3"/>
              <w:ind w:firstLine="560"/>
              <w:jc w:val="both"/>
            </w:pPr>
            <w:r>
              <w:rPr>
                <w:rFonts w:ascii="仿宋_GB2312" w:hAnsi="仿宋_GB2312" w:cs="仿宋_GB2312" w:eastAsia="仿宋_GB2312"/>
                <w:sz w:val="28"/>
              </w:rPr>
              <w:t>2、施工单位承诺完全达到国家有关部门验收标准，并全部通过验收为交付使用的基本条件，验收过程中的一切费用由施工单位承担。</w:t>
            </w:r>
          </w:p>
          <w:p>
            <w:pPr>
              <w:pStyle w:val="null3"/>
              <w:ind w:firstLine="560"/>
              <w:jc w:val="both"/>
            </w:pPr>
            <w:r>
              <w:rPr>
                <w:rFonts w:ascii="仿宋_GB2312" w:hAnsi="仿宋_GB2312" w:cs="仿宋_GB2312" w:eastAsia="仿宋_GB2312"/>
                <w:sz w:val="28"/>
              </w:rPr>
              <w:t>3、验收依据</w:t>
            </w:r>
          </w:p>
          <w:p>
            <w:pPr>
              <w:pStyle w:val="null3"/>
              <w:ind w:firstLine="560"/>
              <w:jc w:val="both"/>
            </w:pPr>
            <w:r>
              <w:rPr>
                <w:rFonts w:ascii="仿宋_GB2312" w:hAnsi="仿宋_GB2312" w:cs="仿宋_GB2312" w:eastAsia="仿宋_GB2312"/>
                <w:sz w:val="28"/>
              </w:rPr>
              <w:t>合同文本及合同补充文件（条款）、磋商文件、响应文件等相关资料。</w:t>
            </w:r>
          </w:p>
          <w:p>
            <w:pPr>
              <w:pStyle w:val="null3"/>
              <w:ind w:firstLine="560"/>
              <w:jc w:val="both"/>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(1)提供营业执照或其他组织经营的合法凭证、自然人提供身份证明文件； (2)税收缴纳证明：提供磋商截止日期前六个月内任意一个月的纳税证明或完税证明； (3)社会保障资金缴纳证明：提供磋商截止日期前六个月内任意一个月的社会保障资金缴存单据或社保机构开具的社会保险参保缴费情况证明； (4)提供具有履行合同所必需的设备和专业技术能力承诺书； (5)提供参加政府采购活动前三年内，在经营活动中没有重大违法记录声明。 供应商需在项目电子化交易系统中按要求填写《响应函》完成承诺并提供相应证明材料后进行电子签章。</w:t>
            </w:r>
          </w:p>
        </w:tc>
        <w:tc>
          <w:tcPr>
            <w:tcW w:type="dxa" w:w="1661"/>
          </w:tcPr>
          <w:p>
            <w:pPr>
              <w:pStyle w:val="null3"/>
            </w:pPr>
            <w:r>
              <w:rPr>
                <w:rFonts w:ascii="仿宋_GB2312" w:hAnsi="仿宋_GB2312" w:cs="仿宋_GB2312" w:eastAsia="仿宋_GB2312"/>
              </w:rPr>
              <w:t>资格文件.docx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提供2024年或2025年财务审计报告（成立时间至开标时间不足一年的可提供成立后任意时段的资产负债表）或提供磋商截止日期前三个月内其基本存款账户开户银行出具的资信证明。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法定代表人授权书/被授权人身份证明</w:t>
            </w:r>
          </w:p>
        </w:tc>
        <w:tc>
          <w:tcPr>
            <w:tcW w:type="dxa" w:w="3322"/>
          </w:tcPr>
          <w:p>
            <w:pPr>
              <w:pStyle w:val="null3"/>
            </w:pPr>
            <w:r>
              <w:rPr>
                <w:rFonts w:ascii="仿宋_GB2312" w:hAnsi="仿宋_GB2312" w:cs="仿宋_GB2312" w:eastAsia="仿宋_GB2312"/>
              </w:rPr>
              <w:t>法定代表人直接参加磋商的，须出具法定代表人身份证明书；法定代表人授权代表参加磋商的，须出具法定代表人身份证明及法定代表人授权委托书</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①供应商及其法定代表人不得为“中国执行信息公开网”失信被执行人；②供应商不得被“信用中国”列入重大税收违法案件当事人名单；③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企业及项目负责人资格</w:t>
            </w:r>
          </w:p>
        </w:tc>
        <w:tc>
          <w:tcPr>
            <w:tcW w:type="dxa" w:w="3322"/>
          </w:tcPr>
          <w:p>
            <w:pPr>
              <w:pStyle w:val="null3"/>
            </w:pPr>
            <w:r>
              <w:rPr>
                <w:rFonts w:ascii="仿宋_GB2312" w:hAnsi="仿宋_GB2312" w:cs="仿宋_GB2312" w:eastAsia="仿宋_GB2312"/>
              </w:rPr>
              <w:t>①企业资质：具备电子与智能化工程专业承包二级或其以上资质，具有有效的安全生产许可证； ②项目经理资格：具备机电工程专业二级及以上注册建造师证书，在本单位注册，并提供安全生产考核证(建安B证)，无在建工程证明；</w:t>
            </w:r>
          </w:p>
        </w:tc>
        <w:tc>
          <w:tcPr>
            <w:tcW w:type="dxa" w:w="1661"/>
          </w:tcPr>
          <w:p>
            <w:pPr>
              <w:pStyle w:val="null3"/>
            </w:pPr>
            <w:r>
              <w:rPr>
                <w:rFonts w:ascii="仿宋_GB2312" w:hAnsi="仿宋_GB2312" w:cs="仿宋_GB2312" w:eastAsia="仿宋_GB2312"/>
              </w:rPr>
              <w:t>资格文件.docx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资格文件.docx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方案.docx 响应文件封面 项目管理机构组成表 残疾人福利性单位声明函 报价函 标的清单 供应商类似项目业绩一览表 资格文件.docx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磋商文件商务要求（工期、付款方式等）响应情况，若负偏离，投标无效</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报价唯一，只能有一个有效报价，不得提交选择性报价，且不高于采购限价</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内容至少包括①施工总平面布置;②施工目标:安全目标、工期目标、质量目标;③资源配备计划:主要施工机械设备、劳动力等配备计划及主材进场计划;评审标准: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赋分标准(15分): ①每一项评审内容完全满足评审标准得5分;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赋分标准（10分）： ①每一项评审内容完全满足评审标准得5分；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内容至少包括①文明施工管理体系及保障措施；②防尘降噪措施；③环境保护管理体系及保障措施。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项目管理机构配备情况 评审内容： 供应商针对本项目编制科学的项目管理机构，内容包含:①管理机构组织图②组织机构的岗位职责及人员配备情况。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供应商提供近三年（2023年1月1日至今）的类似业绩（时间以合同签订时间为准），每提供一份得2分，最多得4分，未提供得0分。（以合同签订时间为准）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满足磋商文件要求且磋商价格最低的磋商报价为评标基准价，其价格分为满分。价格分按照下列公式计算。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详见附件：资格文件.docx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