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版本号：SXQY-2026-ZB00320260428002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西固镇区域养老中心改建项目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SXQY-2026-ZB003</w:t>
      </w:r>
      <w:r>
        <w:br/>
      </w:r>
      <w:r>
        <w:br/>
      </w:r>
      <w:r>
        <w:br/>
      </w:r>
    </w:p>
    <w:p>
      <w:pPr>
        <w:pStyle w:val="null3"/>
        <w:jc w:val="center"/>
        <w:outlineLvl w:val="2"/>
      </w:pPr>
      <w:r>
        <w:rPr>
          <w:rFonts w:ascii="仿宋_GB2312" w:hAnsi="仿宋_GB2312" w:cs="仿宋_GB2312" w:eastAsia="仿宋_GB2312"/>
          <w:sz w:val="28"/>
          <w:b/>
        </w:rPr>
        <w:t>白水县西固镇人民政府</w:t>
      </w:r>
    </w:p>
    <w:p>
      <w:pPr>
        <w:pStyle w:val="null3"/>
        <w:jc w:val="center"/>
        <w:outlineLvl w:val="2"/>
      </w:pPr>
      <w:r>
        <w:rPr>
          <w:rFonts w:ascii="仿宋_GB2312" w:hAnsi="仿宋_GB2312" w:cs="仿宋_GB2312" w:eastAsia="仿宋_GB2312"/>
          <w:sz w:val="28"/>
          <w:b/>
        </w:rPr>
        <w:t>陕西秦禹项目管理有限公司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陕西秦禹项目管理有限公司</w:t>
      </w:r>
      <w:r>
        <w:rPr>
          <w:rFonts w:ascii="仿宋_GB2312" w:hAnsi="仿宋_GB2312" w:cs="仿宋_GB2312" w:eastAsia="仿宋_GB2312"/>
        </w:rPr>
        <w:t>（以下简称“代理机构”）受</w:t>
      </w:r>
      <w:r>
        <w:rPr>
          <w:rFonts w:ascii="仿宋_GB2312" w:hAnsi="仿宋_GB2312" w:cs="仿宋_GB2312" w:eastAsia="仿宋_GB2312"/>
        </w:rPr>
        <w:t>白水县西固镇人民政府</w:t>
      </w:r>
      <w:r>
        <w:rPr>
          <w:rFonts w:ascii="仿宋_GB2312" w:hAnsi="仿宋_GB2312" w:cs="仿宋_GB2312" w:eastAsia="仿宋_GB2312"/>
        </w:rPr>
        <w:t>委托，拟对</w:t>
      </w:r>
      <w:r>
        <w:rPr>
          <w:rFonts w:ascii="仿宋_GB2312" w:hAnsi="仿宋_GB2312" w:cs="仿宋_GB2312" w:eastAsia="仿宋_GB2312"/>
        </w:rPr>
        <w:t>西固镇区域养老中心改建项目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SXQY-2026-ZB003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西固镇区域养老中心改建项目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拆除工程：内外墙涂白铲除900㎡，原门窗水电拆除。（2）卫生间、淋浴间、厨房改造及配套设施安装。（3）公共区域基本设施安装（包括灯具、扶手、地砖、吊顶、墙体、墙裙及更换门窗）。（4）水电改造，更换雨水管，护栏翻新，综合布线。</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采购包1（西固镇区域养老中心改建项目）：属于专门面向中小企业采购。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1、营业执照：具有独立承担民事责任能力的法人、其他组织或自然人，提供合法有效经年检合格的统一社会信用代码营业执照；</w:t>
      </w:r>
    </w:p>
    <w:p>
      <w:pPr>
        <w:pStyle w:val="null3"/>
      </w:pPr>
      <w:r>
        <w:rPr>
          <w:rFonts w:ascii="仿宋_GB2312" w:hAnsi="仿宋_GB2312" w:cs="仿宋_GB2312" w:eastAsia="仿宋_GB2312"/>
        </w:rPr>
        <w:t>2、项目经理：供应商拟派项目经理具备有效的建筑工程专业二级及以上注册建造师资格和有效的安全生产考核合格证书（建安B证），且未担任其他在施建设工程的项目经理（提供无在建项目承诺）；</w:t>
      </w:r>
    </w:p>
    <w:p>
      <w:pPr>
        <w:pStyle w:val="null3"/>
      </w:pPr>
      <w:r>
        <w:rPr>
          <w:rFonts w:ascii="仿宋_GB2312" w:hAnsi="仿宋_GB2312" w:cs="仿宋_GB2312" w:eastAsia="仿宋_GB2312"/>
        </w:rPr>
        <w:t>3、法定代表人授权书/法定代表人身份证明书：法定代表人参与磋商时需提供法定代表人身份证明书；被授权人参与磋商时需提供法定代表人授权委托书；</w:t>
      </w:r>
    </w:p>
    <w:p>
      <w:pPr>
        <w:pStyle w:val="null3"/>
      </w:pPr>
      <w:r>
        <w:rPr>
          <w:rFonts w:ascii="仿宋_GB2312" w:hAnsi="仿宋_GB2312" w:cs="仿宋_GB2312" w:eastAsia="仿宋_GB2312"/>
        </w:rPr>
        <w:t>4、资质证书：须具备建筑工程施工总承包三级及以上资质，并具有建设行政主管部门核发有效的安全生产许可证；</w:t>
      </w:r>
    </w:p>
    <w:p>
      <w:pPr>
        <w:pStyle w:val="null3"/>
      </w:pPr>
      <w:r>
        <w:rPr>
          <w:rFonts w:ascii="仿宋_GB2312" w:hAnsi="仿宋_GB2312" w:cs="仿宋_GB2312" w:eastAsia="仿宋_GB2312"/>
        </w:rPr>
        <w:t>5、财务审计报告：提供2025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p>
      <w:pPr>
        <w:pStyle w:val="null3"/>
      </w:pPr>
      <w:r>
        <w:rPr>
          <w:rFonts w:ascii="仿宋_GB2312" w:hAnsi="仿宋_GB2312" w:cs="仿宋_GB2312" w:eastAsia="仿宋_GB2312"/>
        </w:rPr>
        <w:t>6、税收缴纳证明：须提供依法缴纳税收的良好记录（提供投标截止时间前六个月内任意一个月份的缴费凭据复印件并加盖单位公章或其他相关证明资料）；</w:t>
      </w:r>
    </w:p>
    <w:p>
      <w:pPr>
        <w:pStyle w:val="null3"/>
      </w:pPr>
      <w:r>
        <w:rPr>
          <w:rFonts w:ascii="仿宋_GB2312" w:hAnsi="仿宋_GB2312" w:cs="仿宋_GB2312" w:eastAsia="仿宋_GB2312"/>
        </w:rPr>
        <w:t>7、社保缴纳证明：须提供依法缴纳社会保障资金（养老保险）的良好记录（提供投标截止时间前六个月内任意一个月份的缴费凭据复印件并加盖单位公章或其他相关证明资料）；</w:t>
      </w:r>
    </w:p>
    <w:p>
      <w:pPr>
        <w:pStyle w:val="null3"/>
      </w:pPr>
      <w:r>
        <w:rPr>
          <w:rFonts w:ascii="仿宋_GB2312" w:hAnsi="仿宋_GB2312" w:cs="仿宋_GB2312" w:eastAsia="仿宋_GB2312"/>
        </w:rPr>
        <w:t>8、信用记录：供应商未被列入“信用中国”网站记录的“失信被执行人”和“重大税收违法失信主体”名单；不处于“中国政府采购网”记录的“政府采购严重违法失信行为记录名单”中的禁止参加政府采购活动期间；</w:t>
      </w:r>
    </w:p>
    <w:p>
      <w:pPr>
        <w:pStyle w:val="null3"/>
      </w:pPr>
      <w:r>
        <w:rPr>
          <w:rFonts w:ascii="仿宋_GB2312" w:hAnsi="仿宋_GB2312" w:cs="仿宋_GB2312" w:eastAsia="仿宋_GB2312"/>
        </w:rPr>
        <w:t>9、非联合体声明函：本项目不接受联合体投标。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白水县西固镇人民政府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陕西省渭南市白水县西固镇西固村西扶路南端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715608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权茜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15771807481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陕西秦禹项目管理有限公司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陕西省西安市灞桥区浐灞生态区浐河西路与东月路交汇处绿地与湖1号楼1单元1701室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13299168939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开户名称：陕西秦禹项目管理有限公司</w:t>
            </w:r>
          </w:p>
          <w:p>
            <w:pPr>
              <w:pStyle w:val="null3"/>
            </w:pPr>
            <w:r>
              <w:rPr>
                <w:rFonts w:ascii="仿宋_GB2312" w:hAnsi="仿宋_GB2312" w:cs="仿宋_GB2312" w:eastAsia="仿宋_GB2312"/>
              </w:rPr>
              <w:t>开户银行：中国工商银行股份有限公司西安解放路支行</w:t>
            </w:r>
          </w:p>
          <w:p>
            <w:pPr>
              <w:pStyle w:val="null3"/>
            </w:pPr>
            <w:r>
              <w:rPr>
                <w:rFonts w:ascii="仿宋_GB2312" w:hAnsi="仿宋_GB2312" w:cs="仿宋_GB2312" w:eastAsia="仿宋_GB2312"/>
              </w:rPr>
              <w:t>银行账号：3700020609200069537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代理服务费收费标准：招标代理费按（发改价格【2002】1980号文件）计算收取。支付依据：按（发改办价格【2003】857号文件），代理费由中标人支付。具体招标代理费以代理公司开具的税票金额为准。</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白水县西固镇人民政府</w:t>
      </w:r>
      <w:r>
        <w:rPr>
          <w:rFonts w:ascii="仿宋_GB2312" w:hAnsi="仿宋_GB2312" w:cs="仿宋_GB2312" w:eastAsia="仿宋_GB2312"/>
        </w:rPr>
        <w:t>和</w:t>
      </w:r>
      <w:r>
        <w:rPr>
          <w:rFonts w:ascii="仿宋_GB2312" w:hAnsi="仿宋_GB2312" w:cs="仿宋_GB2312" w:eastAsia="仿宋_GB2312"/>
        </w:rPr>
        <w:t>陕西秦禹项目管理有限公司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白水县西固镇人民政府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陕西秦禹项目管理有限公司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白水县西固镇人民政府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陕西秦禹项目管理有限公司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按国家现行《建筑工程施工质量验收统一标准》（GB 50300）、《建筑装饰装修工程质量验收标准》（GB 50210）、《建筑给水排水及采暖工程施工质量验收规范》（GB 50242）、《建筑电气工程施工质量验收规范》（GB 50303）及《老年人照料设施建筑设计标准》（JGJ 450）执行，同时符合施工图纸、工程量清单及合同约定的全部技术要求。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陕西秦禹项目管理有限公司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陕西秦禹项目管理有限公司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陕西秦禹项目管理有限公司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联系人：赵贝</w:t>
      </w:r>
    </w:p>
    <w:p>
      <w:pPr>
        <w:pStyle w:val="null3"/>
      </w:pPr>
      <w:r>
        <w:rPr>
          <w:rFonts w:ascii="仿宋_GB2312" w:hAnsi="仿宋_GB2312" w:cs="仿宋_GB2312" w:eastAsia="仿宋_GB2312"/>
        </w:rPr>
        <w:t>联系电话：13299168939</w:t>
      </w:r>
    </w:p>
    <w:p>
      <w:pPr>
        <w:pStyle w:val="null3"/>
      </w:pPr>
      <w:r>
        <w:rPr>
          <w:rFonts w:ascii="仿宋_GB2312" w:hAnsi="仿宋_GB2312" w:cs="仿宋_GB2312" w:eastAsia="仿宋_GB2312"/>
        </w:rPr>
        <w:t>地址：陕西省西安市灞桥区纺西街与纺八路交汇处缤纷新时代1402室</w:t>
      </w:r>
    </w:p>
    <w:p>
      <w:pPr>
        <w:pStyle w:val="null3"/>
      </w:pPr>
      <w:r>
        <w:rPr>
          <w:rFonts w:ascii="仿宋_GB2312" w:hAnsi="仿宋_GB2312" w:cs="仿宋_GB2312" w:eastAsia="仿宋_GB2312"/>
        </w:rPr>
        <w:t>邮编：710038</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699,916.81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 西固镇区域养老中心改建项目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 西固镇区域养老中心改建项目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标准应符合国家相关工程管理规定及行业标准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一、工期：自合同签订之日起60日历天内完成全部工程施工并达到验收条件。 二、付款方式：1.工程竣工验收合格并提交合格、完整的竣工验收资料经发包人审核后支付至已完工程价款的85%；2.工程竣工结算审计完成后，支付至审定竣工结算总价的 100%。三、承包方式 1.施工总承包 2.承包人须对工程的质量、安全、工期、造价全面负责。 3.承包人须自行解决施工所需的水、电、临时设施等。 四、合同与履约 1.保险：承包人须为工程投保建筑工程一切险和第三者责任险，并承担费用。施工人员意外伤害险按国家规定办理。 2.变更与签证：供应商响应本合同包竞争性磋商文件第八章合同条款要求。 3.违约责任：供应商响应本合同包竞争性磋商文件第八章合同条款要求。 4.争议解决：供应商响应本合同包竞争性磋商文件第八章合同条款要求。 5.其他条款：供应商响应本合同包竞争性磋商文件第八章合同条款要求。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 投标人承诺书.docx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具有独立承担民事责任能力的法人、其他组织或自然人，提供合法有效经年检合格的统一社会信用代码营业执照；</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供应商拟派项目经理具备有效的建筑工程专业二级及以上注册建造师资格和有效的安全生产考核合格证书（建安B证），且未担任其他在施建设工程的项目经理（提供无在建项目承诺）；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法定代表人授权书/法定代表人身份证明书</w:t>
            </w:r>
          </w:p>
        </w:tc>
        <w:tc>
          <w:tcPr>
            <w:tcW w:type="dxa" w:w="3322"/>
          </w:tcPr>
          <w:p>
            <w:pPr>
              <w:pStyle w:val="null3"/>
            </w:pPr>
            <w:r>
              <w:rPr>
                <w:rFonts w:ascii="仿宋_GB2312" w:hAnsi="仿宋_GB2312" w:cs="仿宋_GB2312" w:eastAsia="仿宋_GB2312"/>
              </w:rPr>
              <w:t>法定代表人参与磋商时需提供法定代表人身份证明书；被授权人参与磋商时需提供法定代表人授权委托书；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须具备建筑工程施工总承包三级及以上资质，并具有建设行政主管部门核发有效的安全生产许可证；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成立时间至提交响应文件截止时间不足一年的可提供成立后任意时段的资产负债表），或其响应文件递交截止之日前三个月内基本开户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须提供依法缴纳税收的良好记录（提供投标截止时间前六个月内任意一个月份的缴费凭据复印件并加盖单位公章或其他相关证明资料）；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须提供依法缴纳社会保障资金（养老保险）的良好记录（提供投标截止时间前六个月内任意一个月份的缴费凭据复印件并加盖单位公章或其他相关证明资料）；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供应商未被列入“信用中国”网站记录的“失信被执行人”和“重大税收违法失信主体”名单；不处于“中国政府采购网”记录的“政府采购严重违法失信行为记录名单”中的禁止参加政府采购活动期间；</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非联合体声明函</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磋商项目技术、服务、商务及其他要求偏离表.docx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响应文件盖章</w:t>
            </w:r>
          </w:p>
        </w:tc>
        <w:tc>
          <w:tcPr>
            <w:tcW w:type="dxa" w:w="3322"/>
          </w:tcPr>
          <w:p>
            <w:pPr>
              <w:pStyle w:val="null3"/>
            </w:pPr>
            <w:r>
              <w:rPr>
                <w:rFonts w:ascii="仿宋_GB2312" w:hAnsi="仿宋_GB2312" w:cs="仿宋_GB2312" w:eastAsia="仿宋_GB2312"/>
              </w:rPr>
              <w:t>响应文件盖章满足磋商文件的要</w:t>
            </w:r>
          </w:p>
        </w:tc>
        <w:tc>
          <w:tcPr>
            <w:tcW w:type="dxa" w:w="1661"/>
          </w:tcPr>
          <w:p>
            <w:pPr>
              <w:pStyle w:val="null3"/>
            </w:pPr>
            <w:r>
              <w:rPr>
                <w:rFonts w:ascii="仿宋_GB2312" w:hAnsi="仿宋_GB2312" w:cs="仿宋_GB2312" w:eastAsia="仿宋_GB2312"/>
              </w:rPr>
              <w:t>响应文件封面 已标价工程量清单 中小企业声明函 报价函 标的清单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w:t>
            </w:r>
          </w:p>
        </w:tc>
        <w:tc>
          <w:tcPr>
            <w:tcW w:type="dxa" w:w="3322"/>
          </w:tcPr>
          <w:p>
            <w:pPr>
              <w:pStyle w:val="null3"/>
            </w:pPr>
            <w:r>
              <w:rPr>
                <w:rFonts w:ascii="仿宋_GB2312" w:hAnsi="仿宋_GB2312" w:cs="仿宋_GB2312" w:eastAsia="仿宋_GB2312"/>
              </w:rPr>
              <w:t>响应文件法定代表人（或其他组织负责人）或其授权代表签字或盖章满足磋商文件的要求</w:t>
            </w:r>
          </w:p>
        </w:tc>
        <w:tc>
          <w:tcPr>
            <w:tcW w:type="dxa" w:w="1661"/>
          </w:tcPr>
          <w:p>
            <w:pPr>
              <w:pStyle w:val="null3"/>
            </w:pPr>
            <w:r>
              <w:rPr>
                <w:rFonts w:ascii="仿宋_GB2312" w:hAnsi="仿宋_GB2312" w:cs="仿宋_GB2312" w:eastAsia="仿宋_GB2312"/>
              </w:rPr>
              <w:t>响应文件封面 已标价工程量清单 报价函 标的清单 供应商资格证明文件.docx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响应文件中的磋商有效期满足磋商文件的要求</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响应报价唯一且未超出采购预算和最高限价。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供应商提供近三年（2023年4月至今）的类似业绩，每提供一份得4分，最多得8分，未提供得0分。（以合同签订时间为准）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 内容至少包括①施工准备；②施工方法及相关技术措施；③重点难点工程分析及解决措施。 评审标准： 1.完整性：响应全面，对评审内容中的各项要求有详细描述； 2.可实施性：内容科学，步骤清晰、合理，可实施性强； 3.针对性：能够紧扣项目实际情况，满足具体要求。 赋分标准（9分）： ①每一项评审内容完全满足评审标准得3分；②每一项评审内容若存在一处缺陷扣0.5分，“缺陷”是指：响应不全面、各项要求描述不详细、内容不科学、步骤不清晰、不合理，可实施性不强，不贴合本项目实际情况、不能满足具体要求；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评审内容： 内容至少包括①施工进度计划；②工期保障措施。 评审标准： 1.完整性：响应全面，对评审内容中的各项要求有详细描述； 2.可实施性：内容科学，步骤清晰、合理，可实施性强； 3.针对性：能够紧扣项目实际情况，满足具体要求。 赋分标准（6分）： ①每一项评审内容完全满足评审标准得3分；②每一项评审内容若存在一处缺陷扣0.5分，“缺陷”是指：响应不全面、各项要求描述不详细、内容不科学、步骤不清晰、不合理，可实施性不强，不贴合本项目实际情况、不能满足具体要求； ③每一项评审内容不提供或完全背离评审标准得0分。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评审内容： 内容至少包括①质量管理体系；②施工质量保障措施；③质量通病防治与成品保护措施。 评审标准： 1.完整性：响应全面，对评审内容中的各项要求有详细描述； 2.可实施性：内容科学，步骤清晰、合理，可实施性强； 3.针对性：能够紧扣项目实际情况，满足具体要求。 赋分标准（9分）： ①每一项评审内容完全满足评审标准得3分；②每一项评审内容若存在一处缺陷扣0.5分，“缺陷”是指：响应不全面、各项要求描述不详细、内容不科学、步骤不清晰、不合理，可实施性不强，不贴合本项目实际情况、不能满足具体要求；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评审内容： 内容至少包括①安全生产管理体系；②安全生产保证措施；③安全技术操作规程。 评审标准： 1.完整性：响应全面，对评审内容中的各项要求有详细描述； 2.可实施性：内容科学，步骤清晰、合理，可实施性强； 3.针对性：能够紧扣项目实际情况，满足具体要求。 赋分标准（9分）： ①每一项评审内容完全满足评审标准得3分； ②每一项评审内容若存在一处缺陷扣0.5分，“缺陷”是指：响应不全面、各项要求描述不详细、内容不科学、步骤不清晰、不合理，可实施性不强，不贴合本项目实际情况、不能满足具体要求；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评审内容： 内容至少包括①文明施工及环境保护管理体系；②防尘降噪措施；③文明施工及环境保护措施。 评审标准： 1.完整性：响应全面，对评审内容中的各项要求有详细描述； 2.可实施性：内容科学，步骤清晰、合理，可实施性强； 3.针对性：能够紧扣项目实际情况，满足具体要求。 赋分标准（ 9分）： ①每一项评审内容完全满足评审标准得3分；②每一项评审内容若存在一处缺陷扣0.5分，“缺陷”是指：响应不全面、各项要求描述不详细、内容不科学、步骤不清晰、不合理，可实施性不强，不贴合本项目实际情况、不能满足具体要求；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对本项目的合理化建议</w:t>
            </w:r>
          </w:p>
        </w:tc>
        <w:tc>
          <w:tcPr>
            <w:tcW w:type="dxa" w:w="2492"/>
          </w:tcPr>
          <w:p>
            <w:pPr>
              <w:pStyle w:val="null3"/>
            </w:pPr>
            <w:r>
              <w:rPr>
                <w:rFonts w:ascii="仿宋_GB2312" w:hAnsi="仿宋_GB2312" w:cs="仿宋_GB2312" w:eastAsia="仿宋_GB2312"/>
              </w:rPr>
              <w:t>针对本项目提出合理化建议，每提出一项有利于本项目实施的合理化建议得1分，本项最高得5分。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评审内容： 内容至少包括①施工总平面布置；②施工目标：安全目标、工期目标、质量目标；③资源配备计划：主要施工机械设备、劳动力等配备计划及主材进场计划； 评审标准： 1.完整性：响应全面，对评审内容中的各项要求有详细描述； 2.可实施性：内容科学，步骤清晰、合理，可实施性强； 3.针对性：能够紧扣项目实际情况，满足具体要求。 赋分标准（9分）： ①每一项评审内容完全满足评审标准得3分； ②每一项评审内容若存在一处缺陷扣0.5分，“缺陷”是指：响应不全面、各项要求描述不详细、内容不科学、步骤不清晰、不合理，可实施性不强，不贴合本项目实际情况、不能满足具体要求； ③每一项评审内容不提供或完全背离评审标准得0分。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评审内容: 内容至少包括①项目管理机构图;②项目管理人员配备及岗位职责。评审标准:1.完整性:响应全面，对评审内容中的各项要求有详细描述，2.可实施性:内容科学，步清晰、合理，可实施性强;3.针对性:能够紧扣项目实际情况，满足具体要求。赋分标准(6分):①每一项评审内容完全满足评审标准得3分； ②每一项评审内容若存在一处缺陷扣0.5分，“缺陷”是指：响应不全面、各项要求描述不详细、内容不科学、步骤不清晰、不合理，可实施性不强，不贴合本项目实际情况、不能满足具体要求； ③每一项评审内容不提供或完全背离评审标准得0分。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 不高于最高限价，且经磋商小组评审不低于成本价的最终磋商报价为有效磋商报价。 (2) 满足竞争性磋商文件要求且磋商价格最低的最终磋商报价为磋商基准价，得满分30分； (3) 磋商报价得分=(磋商基准价／最终磋商报价)×30%×100。 备注：当磋商小组认为某个供应商的报价明显低于其他通过符合性审查供应商的报价，有可能影响工程质量和不能诚信履约的，可以要求该供应商提供书面说明，必要时提交相关证明材料；供应商不能证明其报价合理的，磋商小组可以将其作为无效磋商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详见附件：磋商项目技术、服务、商务及其他要求偏离表.docx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详见附件：投标人承诺书.docx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