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版本号：JZDCG-2026-02020260422001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2026年有机肥采购项目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JZDCG-2026-020</w:t>
      </w:r>
      <w:r>
        <w:br/>
      </w:r>
      <w:r>
        <w:br/>
      </w:r>
      <w:r>
        <w:br/>
      </w:r>
    </w:p>
    <w:p>
      <w:pPr>
        <w:pStyle w:val="null3"/>
        <w:jc w:val="center"/>
        <w:outlineLvl w:val="2"/>
      </w:pPr>
      <w:r>
        <w:rPr>
          <w:rFonts w:ascii="仿宋_GB2312" w:hAnsi="仿宋_GB2312" w:cs="仿宋_GB2312" w:eastAsia="仿宋_GB2312"/>
          <w:sz w:val="28"/>
          <w:b/>
        </w:rPr>
        <w:t>白水县农业农村局</w:t>
      </w:r>
    </w:p>
    <w:p>
      <w:pPr>
        <w:pStyle w:val="null3"/>
        <w:jc w:val="center"/>
        <w:outlineLvl w:val="2"/>
      </w:pPr>
      <w:r>
        <w:rPr>
          <w:rFonts w:ascii="仿宋_GB2312" w:hAnsi="仿宋_GB2312" w:cs="仿宋_GB2312" w:eastAsia="仿宋_GB2312"/>
          <w:sz w:val="28"/>
          <w:b/>
        </w:rPr>
        <w:t>陕西金准达项目管理有限责任公司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陕西金准达项目管理有限责任公司</w:t>
      </w:r>
      <w:r>
        <w:rPr>
          <w:rFonts w:ascii="仿宋_GB2312" w:hAnsi="仿宋_GB2312" w:cs="仿宋_GB2312" w:eastAsia="仿宋_GB2312"/>
        </w:rPr>
        <w:t>（以下简称“代理机构”）受</w:t>
      </w:r>
      <w:r>
        <w:rPr>
          <w:rFonts w:ascii="仿宋_GB2312" w:hAnsi="仿宋_GB2312" w:cs="仿宋_GB2312" w:eastAsia="仿宋_GB2312"/>
        </w:rPr>
        <w:t>白水县农业农村局</w:t>
      </w:r>
      <w:r>
        <w:rPr>
          <w:rFonts w:ascii="仿宋_GB2312" w:hAnsi="仿宋_GB2312" w:cs="仿宋_GB2312" w:eastAsia="仿宋_GB2312"/>
        </w:rPr>
        <w:t>委托，拟对</w:t>
      </w:r>
      <w:r>
        <w:rPr>
          <w:rFonts w:ascii="仿宋_GB2312" w:hAnsi="仿宋_GB2312" w:cs="仿宋_GB2312" w:eastAsia="仿宋_GB2312"/>
        </w:rPr>
        <w:t>2026年有机肥采购项目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JZDCG-2026-020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2026年有机肥采购项目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本项目采购内容为2026年有机肥采购。主要内容为采购一批（约376吨）生物有机肥，用于白水县辖区内粮油作物，达到农业防灾减灾、保障农业作物抗灾夺丰收，促进作物健壮生长，增强抗病、抗逆能力。</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采购包1（2026年有机肥采购项目）：属于专门面向中小企业采购。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1、主体经营资格：法人或者其他组织的营业执照等证明文件或者自然人身份证明；</w:t>
      </w:r>
    </w:p>
    <w:p>
      <w:pPr>
        <w:pStyle w:val="null3"/>
      </w:pPr>
      <w:r>
        <w:rPr>
          <w:rFonts w:ascii="仿宋_GB2312" w:hAnsi="仿宋_GB2312" w:cs="仿宋_GB2312" w:eastAsia="仿宋_GB2312"/>
        </w:rPr>
        <w:t>2、社会保障资金缴纳证明：自2025年10月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pPr>
        <w:pStyle w:val="null3"/>
      </w:pPr>
      <w:r>
        <w:rPr>
          <w:rFonts w:ascii="仿宋_GB2312" w:hAnsi="仿宋_GB2312" w:cs="仿宋_GB2312" w:eastAsia="仿宋_GB2312"/>
        </w:rPr>
        <w:t>3、税收缴纳证明：自2025年10月1日以来已缴存的至少一个月的纳税证明或完税证明，纳税证明或完税证明上应有代收机构或税务机关的公章或业务专用章。依法免税的供应商应提供相关文件证明；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信用查询：未被列入“信用中国”网站（www.creditchina.gov.cn）失信被执行人和重大税收违法案件当事人名单，不得为“中国政府采购网”(www.ccgp.gov.cn)政府采购严重违法失信行为记录名单中禁止参加政府采购活动的供应商；</w:t>
      </w:r>
    </w:p>
    <w:p>
      <w:pPr>
        <w:pStyle w:val="null3"/>
      </w:pPr>
      <w:r>
        <w:rPr>
          <w:rFonts w:ascii="仿宋_GB2312" w:hAnsi="仿宋_GB2312" w:cs="仿宋_GB2312" w:eastAsia="仿宋_GB2312"/>
        </w:rPr>
        <w:t>5、法定代表人授权委托书：提供法定代表人授权书（附法定代表人、被授权人身份证复印件）；法定代表人直接参加投标的，须提供法定代表人身份证明文件；</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8、联合体不得参与：投标人应提供针对本项目的非联合体声明；</w:t>
      </w:r>
    </w:p>
    <w:p>
      <w:pPr>
        <w:pStyle w:val="null3"/>
      </w:pPr>
      <w:r>
        <w:rPr>
          <w:rFonts w:ascii="仿宋_GB2312" w:hAnsi="仿宋_GB2312" w:cs="仿宋_GB2312" w:eastAsia="仿宋_GB2312"/>
        </w:rPr>
        <w:t>9、资质要求：须提供所投产品（生物有机肥）合格有效的肥料登记证。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白水县农业农村局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白水县雷公路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0913-3138108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陕西金准达项目管理有限责任公司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陕西省西安市高新区科技五路3号橡树星座B座902室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毕云、王军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029-89555599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采购包1：574,000.00元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开户名称：陕西金准达项目管理有限责任公司项目保证金专户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银行账号：129911244910001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招标代理服务收费管理暂行办法的通知》（计价格【2002】1980号）和国家发改委办公厅颁发的《关于招标代理服务收费有关问题的通知》（发改办价格【2003】857号）文件为计算依据计取。 2、代理服务费的交纳方式：由中标人在领取中标通知书前向采购代理机构一次性支付； 开户名称：陕西金准达项目管理有限责任公司 开户银行：招商银行西安分行营业部 账 号：129911244910902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白水县农业农村局</w:t>
      </w:r>
      <w:r>
        <w:rPr>
          <w:rFonts w:ascii="仿宋_GB2312" w:hAnsi="仿宋_GB2312" w:cs="仿宋_GB2312" w:eastAsia="仿宋_GB2312"/>
        </w:rPr>
        <w:t>和</w:t>
      </w:r>
      <w:r>
        <w:rPr>
          <w:rFonts w:ascii="仿宋_GB2312" w:hAnsi="仿宋_GB2312" w:cs="仿宋_GB2312" w:eastAsia="仿宋_GB2312"/>
        </w:rPr>
        <w:t>陕西金准达项目管理有限责任公司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白水县农业农村局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陕西金准达项目管理有限责任公司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白水县农业农村局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陕西金准达项目管理有限责任公司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按照采购文件和合同约定。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联系人：毕云、王军</w:t>
      </w:r>
    </w:p>
    <w:p>
      <w:pPr>
        <w:pStyle w:val="null3"/>
      </w:pPr>
      <w:r>
        <w:rPr>
          <w:rFonts w:ascii="仿宋_GB2312" w:hAnsi="仿宋_GB2312" w:cs="仿宋_GB2312" w:eastAsia="仿宋_GB2312"/>
        </w:rPr>
        <w:t>联系电话：029-89555599</w:t>
      </w:r>
    </w:p>
    <w:p>
      <w:pPr>
        <w:pStyle w:val="null3"/>
      </w:pPr>
      <w:r>
        <w:rPr>
          <w:rFonts w:ascii="仿宋_GB2312" w:hAnsi="仿宋_GB2312" w:cs="仿宋_GB2312" w:eastAsia="仿宋_GB2312"/>
        </w:rPr>
        <w:t>地址：陕西省西安市高新区科技五路3号橡树星座B座902室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本项目采购内容为2026年有机肥采购。主要内容为采购一批（约376吨）生物有机肥，用于白水县辖区内粮油作物，达到农业防灾减灾、保障农业作物抗灾夺丰收，促进作物健壮生长，增强抗病、抗逆能力。</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574,000.00</w:t>
      </w:r>
    </w:p>
    <w:p>
      <w:pPr>
        <w:pStyle w:val="null3"/>
      </w:pPr>
      <w:r>
        <w:rPr>
          <w:rFonts w:ascii="仿宋_GB2312" w:hAnsi="仿宋_GB2312" w:cs="仿宋_GB2312" w:eastAsia="仿宋_GB2312"/>
        </w:rPr>
        <w:t>采购包最高限价（元）: 1,526.00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货物 2026年有机肥采购项目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574,000.00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 2026年有机肥采购项目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00"/>
              <w:jc w:val="both"/>
            </w:pPr>
            <w:r>
              <w:rPr>
                <w:rFonts w:ascii="仿宋_GB2312" w:hAnsi="仿宋_GB2312" w:cs="仿宋_GB2312" w:eastAsia="仿宋_GB2312"/>
              </w:rPr>
              <w:t xml:space="preserve"> </w:t>
            </w:r>
          </w:p>
          <w:p>
            <w:pPr>
              <w:pStyle w:val="null3"/>
            </w:pPr>
            <w:r>
              <w:rPr>
                <w:rFonts w:ascii="仿宋_GB2312" w:hAnsi="仿宋_GB2312" w:cs="仿宋_GB2312" w:eastAsia="仿宋_GB2312"/>
              </w:rPr>
              <w:t>1.采购内容</w:t>
            </w:r>
          </w:p>
          <w:p>
            <w:pPr>
              <w:pStyle w:val="null3"/>
            </w:pPr>
            <w:r>
              <w:rPr>
                <w:rFonts w:ascii="仿宋_GB2312" w:hAnsi="仿宋_GB2312" w:cs="仿宋_GB2312" w:eastAsia="仿宋_GB2312"/>
              </w:rPr>
              <w:t>白水县农业农村局采购一批（约376吨）生物有机肥。</w:t>
            </w:r>
          </w:p>
          <w:p>
            <w:pPr>
              <w:pStyle w:val="null3"/>
            </w:pPr>
            <w:r>
              <w:rPr>
                <w:rFonts w:ascii="仿宋_GB2312" w:hAnsi="仿宋_GB2312" w:cs="仿宋_GB2312" w:eastAsia="仿宋_GB2312"/>
              </w:rPr>
              <w:t>2.采购要求</w:t>
            </w:r>
          </w:p>
          <w:p>
            <w:pPr>
              <w:pStyle w:val="null3"/>
            </w:pPr>
            <w:r>
              <w:rPr>
                <w:rFonts w:ascii="仿宋_GB2312" w:hAnsi="仿宋_GB2312" w:cs="仿宋_GB2312" w:eastAsia="仿宋_GB2312"/>
              </w:rPr>
              <w:t>（1）产品要求</w:t>
            </w:r>
          </w:p>
          <w:p>
            <w:pPr>
              <w:pStyle w:val="null3"/>
            </w:pPr>
            <w:r>
              <w:rPr>
                <w:rFonts w:ascii="仿宋_GB2312" w:hAnsi="仿宋_GB2312" w:cs="仿宋_GB2312" w:eastAsia="仿宋_GB2312"/>
              </w:rPr>
              <w:t>1）技术指标要求</w:t>
            </w:r>
          </w:p>
          <w:p>
            <w:pPr>
              <w:pStyle w:val="null3"/>
            </w:pPr>
            <w:r>
              <w:rPr>
                <w:rFonts w:ascii="仿宋_GB2312" w:hAnsi="仿宋_GB2312" w:cs="仿宋_GB2312" w:eastAsia="仿宋_GB2312"/>
              </w:rPr>
              <w:t>①有效活菌数（cfu）≥0.20亿/g；</w:t>
            </w:r>
          </w:p>
          <w:p>
            <w:pPr>
              <w:pStyle w:val="null3"/>
            </w:pPr>
            <w:r>
              <w:rPr>
                <w:rFonts w:ascii="仿宋_GB2312" w:hAnsi="仿宋_GB2312" w:cs="仿宋_GB2312" w:eastAsia="仿宋_GB2312"/>
              </w:rPr>
              <w:t>②有机质（以干基计）≥40.0%；</w:t>
            </w:r>
          </w:p>
          <w:p>
            <w:pPr>
              <w:pStyle w:val="null3"/>
            </w:pPr>
            <w:r>
              <w:rPr>
                <w:rFonts w:ascii="仿宋_GB2312" w:hAnsi="仿宋_GB2312" w:cs="仿宋_GB2312" w:eastAsia="仿宋_GB2312"/>
              </w:rPr>
              <w:t>③产品形态：颗粒</w:t>
            </w:r>
          </w:p>
          <w:p>
            <w:pPr>
              <w:pStyle w:val="null3"/>
            </w:pPr>
            <w:r>
              <w:rPr>
                <w:rFonts w:ascii="仿宋_GB2312" w:hAnsi="仿宋_GB2312" w:cs="仿宋_GB2312" w:eastAsia="仿宋_GB2312"/>
              </w:rPr>
              <w:t>④水分≤30.0%；</w:t>
            </w:r>
          </w:p>
          <w:p>
            <w:pPr>
              <w:pStyle w:val="null3"/>
            </w:pPr>
            <w:r>
              <w:rPr>
                <w:rFonts w:ascii="仿宋_GB2312" w:hAnsi="仿宋_GB2312" w:cs="仿宋_GB2312" w:eastAsia="仿宋_GB2312"/>
              </w:rPr>
              <w:t>⑤pH值5.5-8.5；</w:t>
            </w:r>
          </w:p>
          <w:p>
            <w:pPr>
              <w:pStyle w:val="null3"/>
            </w:pPr>
            <w:r>
              <w:rPr>
                <w:rFonts w:ascii="仿宋_GB2312" w:hAnsi="仿宋_GB2312" w:cs="仿宋_GB2312" w:eastAsia="仿宋_GB2312"/>
              </w:rPr>
              <w:t>⑥粪大肠菌群数≤100个/g；</w:t>
            </w:r>
          </w:p>
          <w:p>
            <w:pPr>
              <w:pStyle w:val="null3"/>
            </w:pPr>
            <w:r>
              <w:rPr>
                <w:rFonts w:ascii="仿宋_GB2312" w:hAnsi="仿宋_GB2312" w:cs="仿宋_GB2312" w:eastAsia="仿宋_GB2312"/>
              </w:rPr>
              <w:t>⑦蛔虫卵死亡率≥95%；</w:t>
            </w:r>
          </w:p>
          <w:p>
            <w:pPr>
              <w:pStyle w:val="null3"/>
            </w:pPr>
            <w:r>
              <w:rPr>
                <w:rFonts w:ascii="仿宋_GB2312" w:hAnsi="仿宋_GB2312" w:cs="仿宋_GB2312" w:eastAsia="仿宋_GB2312"/>
              </w:rPr>
              <w:t>2）重金属限量技术要求</w:t>
            </w:r>
          </w:p>
          <w:p>
            <w:pPr>
              <w:pStyle w:val="null3"/>
            </w:pPr>
            <w:r>
              <w:rPr>
                <w:rFonts w:ascii="仿宋_GB2312" w:hAnsi="仿宋_GB2312" w:cs="仿宋_GB2312" w:eastAsia="仿宋_GB2312"/>
              </w:rPr>
              <w:t>①</w:t>
            </w:r>
            <w:r>
              <w:rPr>
                <w:rFonts w:ascii="仿宋_GB2312" w:hAnsi="仿宋_GB2312" w:cs="仿宋_GB2312" w:eastAsia="仿宋_GB2312"/>
              </w:rPr>
              <w:t>总铅（Pb）（以干基计）≤50mg/kg；</w:t>
            </w:r>
          </w:p>
          <w:p>
            <w:pPr>
              <w:pStyle w:val="null3"/>
            </w:pPr>
            <w:r>
              <w:rPr>
                <w:rFonts w:ascii="仿宋_GB2312" w:hAnsi="仿宋_GB2312" w:cs="仿宋_GB2312" w:eastAsia="仿宋_GB2312"/>
              </w:rPr>
              <w:t>②</w:t>
            </w:r>
            <w:r>
              <w:rPr>
                <w:rFonts w:ascii="仿宋_GB2312" w:hAnsi="仿宋_GB2312" w:cs="仿宋_GB2312" w:eastAsia="仿宋_GB2312"/>
              </w:rPr>
              <w:t>总镉（Cd）（以干基计）≤3mg/kg；</w:t>
            </w:r>
          </w:p>
          <w:p>
            <w:pPr>
              <w:pStyle w:val="null3"/>
            </w:pPr>
            <w:r>
              <w:rPr>
                <w:rFonts w:ascii="仿宋_GB2312" w:hAnsi="仿宋_GB2312" w:cs="仿宋_GB2312" w:eastAsia="仿宋_GB2312"/>
              </w:rPr>
              <w:t>③</w:t>
            </w:r>
            <w:r>
              <w:rPr>
                <w:rFonts w:ascii="仿宋_GB2312" w:hAnsi="仿宋_GB2312" w:cs="仿宋_GB2312" w:eastAsia="仿宋_GB2312"/>
              </w:rPr>
              <w:t>总铬（Cr）（以干基计）≤150mg/kg；</w:t>
            </w:r>
          </w:p>
          <w:p>
            <w:pPr>
              <w:pStyle w:val="null3"/>
            </w:pPr>
            <w:r>
              <w:rPr>
                <w:rFonts w:ascii="仿宋_GB2312" w:hAnsi="仿宋_GB2312" w:cs="仿宋_GB2312" w:eastAsia="仿宋_GB2312"/>
              </w:rPr>
              <w:t>④</w:t>
            </w:r>
            <w:r>
              <w:rPr>
                <w:rFonts w:ascii="仿宋_GB2312" w:hAnsi="仿宋_GB2312" w:cs="仿宋_GB2312" w:eastAsia="仿宋_GB2312"/>
              </w:rPr>
              <w:t>总砷（As）（以干基计）≤15mg/kg；</w:t>
            </w:r>
          </w:p>
          <w:p>
            <w:pPr>
              <w:pStyle w:val="null3"/>
            </w:pPr>
            <w:r>
              <w:rPr>
                <w:rFonts w:ascii="仿宋_GB2312" w:hAnsi="仿宋_GB2312" w:cs="仿宋_GB2312" w:eastAsia="仿宋_GB2312"/>
              </w:rPr>
              <w:t>⑤</w:t>
            </w:r>
            <w:r>
              <w:rPr>
                <w:rFonts w:ascii="仿宋_GB2312" w:hAnsi="仿宋_GB2312" w:cs="仿宋_GB2312" w:eastAsia="仿宋_GB2312"/>
              </w:rPr>
              <w:t>总汞（Hg）（以干基计）≤2mg/kg；</w:t>
            </w:r>
          </w:p>
          <w:p>
            <w:pPr>
              <w:pStyle w:val="null3"/>
            </w:pPr>
            <w:r>
              <w:rPr>
                <w:rFonts w:ascii="仿宋_GB2312" w:hAnsi="仿宋_GB2312" w:cs="仿宋_GB2312" w:eastAsia="仿宋_GB2312"/>
              </w:rPr>
              <w:t>⑥</w:t>
            </w:r>
            <w:r>
              <w:rPr>
                <w:rFonts w:ascii="仿宋_GB2312" w:hAnsi="仿宋_GB2312" w:cs="仿宋_GB2312" w:eastAsia="仿宋_GB2312"/>
              </w:rPr>
              <w:t>有效期≥12个月（含抽样监测）；</w:t>
            </w:r>
          </w:p>
          <w:p>
            <w:pPr>
              <w:pStyle w:val="null3"/>
            </w:pPr>
            <w:r>
              <w:rPr>
                <w:rFonts w:ascii="仿宋_GB2312" w:hAnsi="仿宋_GB2312" w:cs="仿宋_GB2312" w:eastAsia="仿宋_GB2312"/>
              </w:rPr>
              <w:t>⑦</w:t>
            </w:r>
            <w:r>
              <w:rPr>
                <w:rFonts w:ascii="仿宋_GB2312" w:hAnsi="仿宋_GB2312" w:cs="仿宋_GB2312" w:eastAsia="仿宋_GB2312"/>
              </w:rPr>
              <w:t>40kg/袋。</w:t>
            </w:r>
          </w:p>
          <w:p>
            <w:pPr>
              <w:pStyle w:val="null3"/>
            </w:pPr>
            <w:r>
              <w:rPr>
                <w:rFonts w:ascii="仿宋_GB2312" w:hAnsi="仿宋_GB2312" w:cs="仿宋_GB2312" w:eastAsia="仿宋_GB2312"/>
              </w:rPr>
              <w:t>注：应提供基于NY884-2012标准检验的检测报告。</w:t>
            </w:r>
          </w:p>
          <w:p>
            <w:pPr>
              <w:pStyle w:val="null3"/>
            </w:pPr>
            <w:r>
              <w:rPr>
                <w:rFonts w:ascii="仿宋_GB2312" w:hAnsi="仿宋_GB2312" w:cs="仿宋_GB2312" w:eastAsia="仿宋_GB2312"/>
              </w:rPr>
              <w:t>（2）其他要求</w:t>
            </w:r>
          </w:p>
          <w:p>
            <w:pPr>
              <w:pStyle w:val="null3"/>
            </w:pPr>
            <w:r>
              <w:rPr>
                <w:rFonts w:ascii="仿宋_GB2312" w:hAnsi="仿宋_GB2312" w:cs="仿宋_GB2312" w:eastAsia="仿宋_GB2312"/>
              </w:rPr>
              <w:t>货物全新、供应渠道正规、稳定且质量有保证，检验手续合法有效，具备完善的管理制度流程，供货时提供该批次检验报告等相关证明材料；</w:t>
            </w:r>
          </w:p>
          <w:p>
            <w:pPr>
              <w:pStyle w:val="null3"/>
            </w:pPr>
            <w:r>
              <w:rPr>
                <w:rFonts w:ascii="仿宋_GB2312" w:hAnsi="仿宋_GB2312" w:cs="仿宋_GB2312" w:eastAsia="仿宋_GB2312"/>
              </w:rPr>
              <w:t>须用专用车辆运输，包装完好，运输作业应防止污染，不得与有毒、有害物品同时装运。</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注：1）生物有机肥为核心产品。</w:t>
            </w:r>
          </w:p>
          <w:p>
            <w:pPr>
              <w:pStyle w:val="null3"/>
            </w:pPr>
            <w:r>
              <w:rPr>
                <w:rFonts w:ascii="仿宋_GB2312" w:hAnsi="仿宋_GB2312" w:cs="仿宋_GB2312" w:eastAsia="仿宋_GB2312"/>
              </w:rPr>
              <w:t>2）本项目采购预算为574000.00元，最高限价（单价）1526.00元/吨，包括本次项目所需的购置费、运输费、装卸费、税金等所有费用。</w:t>
            </w:r>
          </w:p>
          <w:p>
            <w:pPr>
              <w:pStyle w:val="null3"/>
            </w:pPr>
            <w:r>
              <w:rPr>
                <w:rFonts w:ascii="仿宋_GB2312" w:hAnsi="仿宋_GB2312" w:cs="仿宋_GB2312" w:eastAsia="仿宋_GB2312"/>
              </w:rPr>
              <w:t>3）本项目填报单价，最高限价（单价）为1526.00元/吨。</w:t>
            </w:r>
          </w:p>
          <w:p>
            <w:pPr>
              <w:pStyle w:val="null3"/>
            </w:pPr>
            <w:r>
              <w:rPr>
                <w:rFonts w:ascii="仿宋_GB2312" w:hAnsi="仿宋_GB2312" w:cs="仿宋_GB2312" w:eastAsia="仿宋_GB2312"/>
              </w:rPr>
              <w:t>4）按照《陕西省财政厅关于在政府采购活动中实施本国产品标准及相关政策的通知》陕财办采〔2026〕2号文件的要求，对于落实本国产品的优惠政策如下：</w:t>
            </w:r>
          </w:p>
          <w:p>
            <w:pPr>
              <w:pStyle w:val="null3"/>
            </w:pPr>
            <w:r>
              <w:rPr>
                <w:rFonts w:ascii="仿宋_GB2312" w:hAnsi="仿宋_GB2312" w:cs="仿宋_GB2312" w:eastAsia="仿宋_GB2312"/>
              </w:rPr>
              <w:t>（1）对于仅有本国产品参与竞争的政府采购项目，本国产品不享受价格扣除评审优惠。</w:t>
            </w:r>
          </w:p>
          <w:p>
            <w:pPr>
              <w:pStyle w:val="null3"/>
            </w:pPr>
            <w:r>
              <w:rPr>
                <w:rFonts w:ascii="仿宋_GB2312" w:hAnsi="仿宋_GB2312" w:cs="仿宋_GB2312" w:eastAsia="仿宋_GB2312"/>
              </w:rPr>
              <w:t>（2）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w:t>
            </w:r>
          </w:p>
          <w:p>
            <w:pPr>
              <w:pStyle w:val="null3"/>
            </w:pPr>
            <w:r>
              <w:rPr>
                <w:rFonts w:ascii="仿宋_GB2312" w:hAnsi="仿宋_GB2312" w:cs="仿宋_GB2312" w:eastAsia="仿宋_GB2312"/>
              </w:rPr>
              <w:t>（3）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p>
            <w:pPr>
              <w:pStyle w:val="null3"/>
            </w:pPr>
            <w:r>
              <w:rPr>
                <w:rFonts w:ascii="仿宋_GB2312" w:hAnsi="仿宋_GB2312" w:cs="仿宋_GB2312" w:eastAsia="仿宋_GB2312"/>
              </w:rPr>
              <w:t>（4）价格扣除以供应商提供的“关于符合本国产品标准的声明函”为准。</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自合同签订之日起10日历日。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白水县内采购人指定地点，按照招标人要求的时间和地点实施。</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按要求送货到采购人指定位置、初步验收合格后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最终验收合格，采购人签发《终验合格单》后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初验：货物到达交货地点后，由采购方根据合同对货物（产品）的名称、品牌、规格、型号、产地、数量进行检查。 终验：由采购人进行终验（最终验收），合格后签发《终验合格单》。 （2）验收不合格的中标单位，必须在接到通知后7个日历日内确保货物通过验收。若接到通知后7个日历日内验收仍不合格，采购人可提出索赔或取消其供货合同。 （3）验收依据 ①合同文本及合同补充文件（条款）。 ②招标文件。 ③中标人的投标文件。 ④合同货物清单。 ⑤其他证明资料。 （4）验收方法：按照采购人相关要求进行验收。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质保期为1年（自验收合格之日起计算）。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依据《中华人民共和国民法典》、《中华人民共和国政府采购法》的相关条款和本合同约定，中标人未全面履行合同义务或者发生违约，招标人及招标代理机构有权终止合同，依法向中标人要求经济索赔，并报请政府采购监督管理部门进行相应的行政处罚。招标人违约的，应当赔偿给中标人造成的经济损失。 （2）执行合同发生争议，由当事人双方协商解决。协商不成，可向招标人所在地行政主管部门投诉或依法向招标人所在地法院起诉。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质量标准：符合国家现行行业标准及采购人要求。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一般资格审查证明材料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2025年10月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自2025年10月1日以来已缴存的至少一个月的纳税证明或完税证明，纳税证明或完税证明上应有代收机构或税务机关的公章或业务专用章。依法免税的供应商应提供相关文件证明；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未被列入“信用中国”网站（www.creditchina.gov.cn）失信被执行人和重大税收违法案件当事人名单，不得为“中国政府采购网”(www.ccgp.gov.cn)政府采购严重违法失信行为记录名单中禁止参加政府采购活动的供应商；</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提供法定代表人授权书（附法定代表人、被授权人身份证复印件）；法定代表人直接参加投标的，须提供法定代表人身份证明文件；</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联合体不得参与</w:t>
            </w:r>
          </w:p>
        </w:tc>
        <w:tc>
          <w:tcPr>
            <w:tcW w:type="dxa" w:w="3322"/>
          </w:tcPr>
          <w:p>
            <w:pPr>
              <w:pStyle w:val="null3"/>
            </w:pPr>
            <w:r>
              <w:rPr>
                <w:rFonts w:ascii="仿宋_GB2312" w:hAnsi="仿宋_GB2312" w:cs="仿宋_GB2312" w:eastAsia="仿宋_GB2312"/>
              </w:rPr>
              <w:t>投标人应提供针对本项目的非联合体声明；</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须提供所投产品（生物有机肥）合格有效的肥料登记证。</w:t>
            </w:r>
          </w:p>
        </w:tc>
        <w:tc>
          <w:tcPr>
            <w:tcW w:type="dxa" w:w="1661"/>
          </w:tcPr>
          <w:p>
            <w:pPr>
              <w:pStyle w:val="null3"/>
            </w:pPr>
            <w:r>
              <w:rPr>
                <w:rFonts w:ascii="仿宋_GB2312" w:hAnsi="仿宋_GB2312" w:cs="仿宋_GB2312" w:eastAsia="仿宋_GB2312"/>
              </w:rPr>
              <w:t>特殊资格审查证明材料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的报价明显低于其他实质性响应的投标人报价，有可能影响产品质量或者不能诚信履约的，按照《关于推动解决政府采购异常低价问题的通知》财库〔2026〕2号文件的要求，可启动政府采购异常低价审查，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投标人提交的相关证明材料，应当加盖供应商（法定名称）电子印章，在评标委员会要求的时间内通过项目电子化交易系统进行提交，否则提交的相关证明材料无效。投标人不能证明其报价合理性的，评标委员会应当将其响应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符合招标文件中“投标文件格式”要求</w:t>
            </w:r>
          </w:p>
        </w:tc>
        <w:tc>
          <w:tcPr>
            <w:tcW w:type="dxa" w:w="1661"/>
          </w:tcPr>
          <w:p>
            <w:pPr>
              <w:pStyle w:val="null3"/>
            </w:pPr>
            <w:r>
              <w:rPr>
                <w:rFonts w:ascii="仿宋_GB2312" w:hAnsi="仿宋_GB2312" w:cs="仿宋_GB2312" w:eastAsia="仿宋_GB2312"/>
              </w:rPr>
              <w:t>开标一览表 投标方案 类似项目业绩一览表 中小企业声明函 特殊资格审查证明材料 商务条款及其他要求响应偏离表 技术要求响应偏离表 投标函 残疾人福利性单位声明函 一般资格审查证明材料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文件应逐页盖章，有法定代表人或被授权人签字或盖章须按要求签字或盖章；</w:t>
            </w:r>
          </w:p>
        </w:tc>
        <w:tc>
          <w:tcPr>
            <w:tcW w:type="dxa" w:w="1661"/>
          </w:tcPr>
          <w:p>
            <w:pPr>
              <w:pStyle w:val="null3"/>
            </w:pPr>
            <w:r>
              <w:rPr>
                <w:rFonts w:ascii="仿宋_GB2312" w:hAnsi="仿宋_GB2312" w:cs="仿宋_GB2312" w:eastAsia="仿宋_GB2312"/>
              </w:rPr>
              <w:t>开标一览表 投标方案 类似项目业绩一览表 中小企业声明函 特殊资格审查证明材料 商务条款及其他要求响应偏离表 技术要求响应偏离表 投标函 残疾人福利性单位声明函 一般资格审查证明材料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只能有一个有效报价（单价），且不能超过本项目最高限价（单价）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应符合招标文件的要求</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投标方案 技术要求响应偏离表 投标函 类似项目业绩一览表 中小企业声明函 一般资格审查证明材料 标的清单 关于符合本国产品标准的声明函 投标文件封面 特殊资格审查证明材料 商务条款及其他要求响应偏离表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投标方案 技术要求响应偏离表 投标函 类似项目业绩一览表 中小企业声明函 一般资格审查证明材料 标的清单 关于符合本国产品标准的声明函 投标文件封面 特殊资格审查证明材料 商务条款及其他要求响应偏离表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投标人提供生物有机肥的合法来源渠道证明文件（投标人为代理商的提供包含但不限于：产品制造商授权或销售协议或代理协议或进货单等证明材料，投标人为制造商的提供产品为自己制造的说明材料），每提供一份合格的证明材料得4分，本项最高得4分；注：未提供合法来源渠道证明材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1、评审内容 包含4项：①产品原料保障；②产品生产工艺流程；③产品无害化处理；④产品功能描述。 2、评审标准 （1）评审内容每项满分为3分，共12分； （2）评审内容每缺失一项扣3分，每项内容有下列任意一项瑕疵的扣0.3分（单项评审内容相同瑕疵不重复扣分），扣完为止；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1、评审内容 包含5项：①供货进度安排；②人员保障；③ 化肥存储保障；④运输实施保障；⑤货物验收方案。 2、评审标准 （1）评审内容每项满分为3分，共15分； （2）评审内容每缺失一项扣3分，每项内容有下列任意一项瑕疵的扣0.3分（单项评审内容相同瑕疵不重复扣分），扣完为止；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1、评审内容 包含4项：①质量目标；②生产过程中质量控制措施；③仓储、运输中保证质量的措施；④质量承诺。 2、评审标准 （1）评审内容每项满分为3分，共12分； （2）评审内容每缺失一项扣3分，每项内容有下列任意一项瑕疵的扣0.3分（单项评审内容相同瑕疵不重复扣分），扣完为止；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 包含3项：①日常存储培训；②使用培训；③其他有利于粮食作物增强抗灾减灾能力的知识培训。 2、评审标准 （1）评审内容每项满分为3分，共9分； （2）评审内容每缺失一项扣3分，每项内容有下列任意一项瑕疵的扣0.3分（单项评审内容相同瑕疵不重复扣分），扣完为止；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1、评审内容 包含4项：①售后服务范围及内容；②售后服务人员配置；③售后响应时间；④定期回访维护。 2、评审标准 （1）评审内容每项满分为3分，共12分； （2）评审内容每缺失一项扣3分，每项内容有下列任意一项瑕疵的扣0.3分（单项评审内容相同瑕疵不重复扣分），扣完为止；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提供2023年1月1日以来供应商类似业绩，每提供1份业绩得2分，最高得6分。 注：证明文件以合同为准，时间以合同签订时间为准；投标文件中附业绩证明文件复印件并加盖公章，未提供或不清晰导致无法识别的不予认可。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价格分采用低价优先法计算，即满足招标文件要求且价格（单价）最低的报价（单价）为评标基准价，其价格分为满分。其他投标人的价格分统一按照下列公式计算：报价得分=（评标基准价/报价）×价格权值×100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详见附件：一般资格审查证明材料</w:t>
      </w:r>
    </w:p>
    <w:p>
      <w:pPr>
        <w:pStyle w:val="null3"/>
        <w:ind w:firstLine="960"/>
      </w:pPr>
      <w:r>
        <w:rPr>
          <w:rFonts w:ascii="仿宋_GB2312" w:hAnsi="仿宋_GB2312" w:cs="仿宋_GB2312" w:eastAsia="仿宋_GB2312"/>
        </w:rPr>
        <w:t>详见附件：特殊资格审查证明材料</w:t>
      </w:r>
    </w:p>
    <w:p>
      <w:pPr>
        <w:pStyle w:val="null3"/>
        <w:ind w:firstLine="960"/>
      </w:pPr>
      <w:r>
        <w:rPr>
          <w:rFonts w:ascii="仿宋_GB2312" w:hAnsi="仿宋_GB2312" w:cs="仿宋_GB2312" w:eastAsia="仿宋_GB2312"/>
        </w:rPr>
        <w:t>详见附件：技术要求响应偏离表</w:t>
      </w:r>
    </w:p>
    <w:p>
      <w:pPr>
        <w:pStyle w:val="null3"/>
        <w:ind w:firstLine="960"/>
      </w:pPr>
      <w:r>
        <w:rPr>
          <w:rFonts w:ascii="仿宋_GB2312" w:hAnsi="仿宋_GB2312" w:cs="仿宋_GB2312" w:eastAsia="仿宋_GB2312"/>
        </w:rPr>
        <w:t>详见附件：商务条款及其他要求响应偏离表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详见附件：类似项目业绩一览表</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详见附件：合同（样本）.docx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