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版本号：ZXZB-2026-0220260413002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史官镇历史文化名镇保护规划编制项目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ZXZB-2026-02</w:t>
      </w:r>
      <w:r>
        <w:br/>
      </w:r>
      <w:r>
        <w:br/>
      </w:r>
      <w:r>
        <w:br/>
      </w:r>
    </w:p>
    <w:p>
      <w:pPr>
        <w:pStyle w:val="null3"/>
        <w:jc w:val="center"/>
        <w:outlineLvl w:val="2"/>
      </w:pPr>
      <w:r>
        <w:rPr>
          <w:rFonts w:ascii="仿宋_GB2312" w:hAnsi="仿宋_GB2312" w:cs="仿宋_GB2312" w:eastAsia="仿宋_GB2312"/>
          <w:sz w:val="28"/>
          <w:b/>
        </w:rPr>
        <w:t>白水县住房和城乡建设局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白水县住房和城乡建设局</w:t>
      </w:r>
      <w:r>
        <w:rPr>
          <w:rFonts w:ascii="仿宋_GB2312" w:hAnsi="仿宋_GB2312" w:cs="仿宋_GB2312" w:eastAsia="仿宋_GB2312"/>
        </w:rPr>
        <w:t>委托，拟对</w:t>
      </w:r>
      <w:r>
        <w:rPr>
          <w:rFonts w:ascii="仿宋_GB2312" w:hAnsi="仿宋_GB2312" w:cs="仿宋_GB2312" w:eastAsia="仿宋_GB2312"/>
        </w:rPr>
        <w:t>史官镇历史文化名镇保护规划编制项目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ZXZB-2026-02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史官镇历史文化名镇保护规划编制项目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本次规划包括三部分内容： 1、保护规划编制标准；符合《历史文化名城名镇名村保护规划编制要求》建规〔2012〕195号。 2、划定保护范围；史官镇历史文化名镇保护范围82.68公顷。 3、文化遗产保护专题研究：史官镇文脉活化利用与旅游发展研究、仓颉庙文化遗产保护专题研究。 二、编制成果 保护规划的成果应当包括规划文本、规划图纸和附件，规划说明书、基础资料汇编收入及附件。提交最终历史文化名镇保护规划成果6套及电子版1套。 三、合格标准： 需通过白水县住建局内审合格，报审渭南市住建局组织专家评审合格后再报省住建厅组织专家审查合格后，报住建部备案通过。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采购包1（史官镇历史文化名镇保护规划编制项目）：属于专门面向中小企业采购。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2、授权书：法定代表人授权委托书（附法定代表人、被授权委托人身份证复印件）及被授权委托人身份证原件（法定代表人参加磋商只须提供法定代表人身份证）；</w:t>
      </w:r>
    </w:p>
    <w:p>
      <w:pPr>
        <w:pStyle w:val="null3"/>
      </w:pPr>
      <w:r>
        <w:rPr>
          <w:rFonts w:ascii="仿宋_GB2312" w:hAnsi="仿宋_GB2312" w:cs="仿宋_GB2312" w:eastAsia="仿宋_GB2312"/>
        </w:rPr>
        <w:t>3、资质要求：供应商须具备城乡规划编制资质乙级及以上资质；</w:t>
      </w:r>
    </w:p>
    <w:p>
      <w:pPr>
        <w:pStyle w:val="null3"/>
      </w:pPr>
      <w:r>
        <w:rPr>
          <w:rFonts w:ascii="仿宋_GB2312" w:hAnsi="仿宋_GB2312" w:cs="仿宋_GB2312" w:eastAsia="仿宋_GB2312"/>
        </w:rPr>
        <w:t>4、项目负责人要求：拟派项目负责人具备城乡规划工程师中级及以上职称；</w:t>
      </w:r>
    </w:p>
    <w:p>
      <w:pPr>
        <w:pStyle w:val="null3"/>
      </w:pPr>
      <w:r>
        <w:rPr>
          <w:rFonts w:ascii="仿宋_GB2312" w:hAnsi="仿宋_GB2312" w:cs="仿宋_GB2312" w:eastAsia="仿宋_GB2312"/>
        </w:rPr>
        <w:t>5、信用查询：供应商未被“信用中国（中国执行信息公开网）列为失信被执行人、重大税收违法失信主体，未被中国政府采购网（www.ccgp.gov.cn）列入政府采购严重违法失信行为记录名单;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6、财务状况：提供2024年度完整的财务审计报告(成立时间至提交磋商响应文件截止时间不足一年的可提供成立后任意时段的资产负债表)，或磋商截止时间前六个月内其基本存款账户开户银行出具的资信证明及基本存款账户开户证明；</w:t>
      </w:r>
    </w:p>
    <w:p>
      <w:pPr>
        <w:pStyle w:val="null3"/>
      </w:pPr>
      <w:r>
        <w:rPr>
          <w:rFonts w:ascii="仿宋_GB2312" w:hAnsi="仿宋_GB2312" w:cs="仿宋_GB2312" w:eastAsia="仿宋_GB2312"/>
        </w:rPr>
        <w:t>7、税收缴纳证明：提供磋商截止日前一年内已缴纳任意一个月的纳税证明或完税证明（任意税种），依法免税的单位应提供相关证明材料；</w:t>
      </w:r>
    </w:p>
    <w:p>
      <w:pPr>
        <w:pStyle w:val="null3"/>
      </w:pPr>
      <w:r>
        <w:rPr>
          <w:rFonts w:ascii="仿宋_GB2312" w:hAnsi="仿宋_GB2312" w:cs="仿宋_GB2312" w:eastAsia="仿宋_GB2312"/>
        </w:rPr>
        <w:t>8、社会保障资金缴纳证明：提供磋商截止日前一年内已缴存的任意一个月的社会保障资金缴存单据或社保机构开具的社会保险参保缴费情况证明，依法不需要缴纳社会保障资金的单位应提供相关证明材料；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9、无重大违法记录说明：参加本次采购活动前三年内，在政府采购活动中没有重大违法记录声明；</w:t>
      </w:r>
    </w:p>
    <w:p>
      <w:pPr>
        <w:pStyle w:val="null3"/>
      </w:pPr>
      <w:r>
        <w:rPr>
          <w:rFonts w:ascii="仿宋_GB2312" w:hAnsi="仿宋_GB2312" w:cs="仿宋_GB2312" w:eastAsia="仿宋_GB2312"/>
        </w:rPr>
        <w:t>10、承诺书：提供具有履行合同所必需的设备和专业技术能力的承诺书;</w:t>
      </w:r>
    </w:p>
    <w:p>
      <w:pPr>
        <w:pStyle w:val="null3"/>
      </w:pPr>
      <w:r>
        <w:rPr>
          <w:rFonts w:ascii="仿宋_GB2312" w:hAnsi="仿宋_GB2312" w:cs="仿宋_GB2312" w:eastAsia="仿宋_GB2312"/>
        </w:rPr>
        <w:t>11、专门面向中小企业：本项目专门面向中小企业采购项目，需提供中小企业声明函;</w:t>
      </w:r>
    </w:p>
    <w:p>
      <w:pPr>
        <w:pStyle w:val="null3"/>
      </w:pPr>
      <w:r>
        <w:rPr>
          <w:rFonts w:ascii="仿宋_GB2312" w:hAnsi="仿宋_GB2312" w:cs="仿宋_GB2312" w:eastAsia="仿宋_GB2312"/>
        </w:rPr>
        <w:t>12、不接受联合体声明：本项目不接受联合体磋商（提供声明函）。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乔宗敏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18891568166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冯佩、王超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15353108309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采购包1：544,700.00元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伍仟元则供应商按伍仟元支付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白水县住房和城乡建设局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以本项目采购需求、合同条款以及国家、行业相关标准规范为依据。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联系人：冯佩、王超</w:t>
      </w:r>
    </w:p>
    <w:p>
      <w:pPr>
        <w:pStyle w:val="null3"/>
      </w:pPr>
      <w:r>
        <w:rPr>
          <w:rFonts w:ascii="仿宋_GB2312" w:hAnsi="仿宋_GB2312" w:cs="仿宋_GB2312" w:eastAsia="仿宋_GB2312"/>
        </w:rPr>
        <w:t>联系电话：15353108309</w:t>
      </w:r>
    </w:p>
    <w:p>
      <w:pPr>
        <w:pStyle w:val="null3"/>
      </w:pPr>
      <w:r>
        <w:rPr>
          <w:rFonts w:ascii="仿宋_GB2312" w:hAnsi="仿宋_GB2312" w:cs="仿宋_GB2312" w:eastAsia="仿宋_GB2312"/>
        </w:rPr>
        <w:t>地址：西安经济技术开发区凤城十二路与文景路东北角首创·禧悦里25栋A座16层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本次规划包括三部分内容： 1、保护规划编制标准；符合《历史文化名城名镇名村保护规划编制要求》建规〔2012〕195号。 2、划定保护范围；史官镇历史文化名镇保护范围82.68公顷。 3、文化遗产保护专题研究：史官镇文脉活化利用与旅游发展研究、仓颉庙文化遗产保护专题研究。 二、编制成果 保护规划的成果应当包括规划文本、规划图纸和附件，规划说明书、基础资料汇编收入及附件。提交最终历史文化名镇保护规划成果6套及电子版1套。 三、合格标准： 需通过白水县住建局内审合格，报审渭南市住建局组织专家评审合格后再报省住建厅组织专家审查合格后，报住建部备案通过。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544,700.00</w:t>
      </w:r>
    </w:p>
    <w:p>
      <w:pPr>
        <w:pStyle w:val="null3"/>
      </w:pPr>
      <w:r>
        <w:rPr>
          <w:rFonts w:ascii="仿宋_GB2312" w:hAnsi="仿宋_GB2312" w:cs="仿宋_GB2312" w:eastAsia="仿宋_GB2312"/>
        </w:rPr>
        <w:t>采购包最高限价（元）: 544,700.00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史官镇历史文化名镇保护规划编制项目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544,700.00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史官镇历史文化名镇保护规划编制项目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本次规划包括三部分内容：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保护规划编制</w:t>
            </w:r>
            <w:r>
              <w:rPr>
                <w:rFonts w:ascii="仿宋_GB2312" w:hAnsi="仿宋_GB2312" w:cs="仿宋_GB2312" w:eastAsia="仿宋_GB2312"/>
                <w:sz w:val="24"/>
              </w:rPr>
              <w:t>标准；符合《历史文化名城名镇名村保护规划编制要求》建规〔</w:t>
            </w:r>
            <w:r>
              <w:rPr>
                <w:rFonts w:ascii="仿宋_GB2312" w:hAnsi="仿宋_GB2312" w:cs="仿宋_GB2312" w:eastAsia="仿宋_GB2312"/>
                <w:sz w:val="24"/>
              </w:rPr>
              <w:t>2012〕195号。</w:t>
            </w:r>
          </w:p>
          <w:p>
            <w:pPr>
              <w:pStyle w:val="null3"/>
              <w:ind w:firstLine="480"/>
              <w:jc w:val="both"/>
            </w:pPr>
            <w:r>
              <w:rPr>
                <w:rFonts w:ascii="仿宋_GB2312" w:hAnsi="仿宋_GB2312" w:cs="仿宋_GB2312" w:eastAsia="仿宋_GB2312"/>
                <w:sz w:val="24"/>
              </w:rPr>
              <w:t>2、划定保护范围；史官镇历史文化名镇保护范围82.68公顷。</w:t>
            </w:r>
          </w:p>
          <w:p>
            <w:pPr>
              <w:pStyle w:val="null3"/>
              <w:ind w:firstLine="480"/>
              <w:jc w:val="both"/>
            </w:pPr>
            <w:r>
              <w:rPr>
                <w:rFonts w:ascii="仿宋_GB2312" w:hAnsi="仿宋_GB2312" w:cs="仿宋_GB2312" w:eastAsia="仿宋_GB2312"/>
                <w:sz w:val="24"/>
              </w:rPr>
              <w:t>3、文化遗产保护专题研究：史官镇文脉活化利用与旅游发展研究、仓颉庙文化遗产保护专题研究。</w:t>
            </w:r>
          </w:p>
          <w:p>
            <w:pPr>
              <w:pStyle w:val="null3"/>
              <w:ind w:firstLine="480"/>
              <w:jc w:val="both"/>
            </w:pPr>
            <w:r>
              <w:rPr>
                <w:rFonts w:ascii="仿宋_GB2312" w:hAnsi="仿宋_GB2312" w:cs="仿宋_GB2312" w:eastAsia="仿宋_GB2312"/>
                <w:sz w:val="24"/>
              </w:rPr>
              <w:t>二、编制成果</w:t>
            </w:r>
          </w:p>
          <w:p>
            <w:pPr>
              <w:pStyle w:val="null3"/>
              <w:ind w:firstLine="480"/>
              <w:jc w:val="both"/>
            </w:pPr>
            <w:r>
              <w:rPr>
                <w:rFonts w:ascii="仿宋_GB2312" w:hAnsi="仿宋_GB2312" w:cs="仿宋_GB2312" w:eastAsia="仿宋_GB2312"/>
                <w:sz w:val="24"/>
              </w:rPr>
              <w:t>保护规划的成果应当包括规划文本、规划图纸和附件，规划说明书、基础资料汇编收入及附件。提交最终历史文化名镇保护规划成果</w:t>
            </w:r>
            <w:r>
              <w:rPr>
                <w:rFonts w:ascii="仿宋_GB2312" w:hAnsi="仿宋_GB2312" w:cs="仿宋_GB2312" w:eastAsia="仿宋_GB2312"/>
                <w:sz w:val="24"/>
              </w:rPr>
              <w:t>6套及电子版1套。</w:t>
            </w:r>
          </w:p>
          <w:p>
            <w:pPr>
              <w:pStyle w:val="null3"/>
              <w:ind w:firstLine="480"/>
              <w:jc w:val="both"/>
            </w:pPr>
            <w:r>
              <w:rPr>
                <w:rFonts w:ascii="仿宋_GB2312" w:hAnsi="仿宋_GB2312" w:cs="仿宋_GB2312" w:eastAsia="仿宋_GB2312"/>
                <w:sz w:val="24"/>
              </w:rPr>
              <w:t>三、合格标准：</w:t>
            </w:r>
          </w:p>
          <w:p>
            <w:pPr>
              <w:pStyle w:val="null3"/>
              <w:ind w:firstLine="480"/>
              <w:jc w:val="both"/>
            </w:pPr>
            <w:r>
              <w:rPr>
                <w:rFonts w:ascii="仿宋_GB2312" w:hAnsi="仿宋_GB2312" w:cs="仿宋_GB2312" w:eastAsia="仿宋_GB2312"/>
                <w:sz w:val="24"/>
              </w:rPr>
              <w:t>需通过白水县住建局内审合格，报审渭南市住建局组织专家评审合格后再报省住建厅组织专家审查合格后，报住建部备案通过。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需通过白水县住建局内审合格，报审渭南市住建局组织专家评审合格后再报省住建厅组织专家审查合格后，报住建部备案通过。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本合同签订后5日内，甲方向乙方支付合同总价款的20%，作为预付款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乙方提交初步成果，并通过甲方组织的专家评审后5日内，甲方向乙方支付合同总价款的30%，作为项目进度款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乙方提交最终成果后5日内，甲方向乙方支付剩余全部合同价款。甲方付款前，乙方提供增值税发票 ，达到付款条件起 5日内</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（1）为保证项目存档使用供应商须提交纸质响应文件正本壹份、副本贰份，电子U盘壹份；（2）纸质响应文件正、副本分别胶装递交，成交供应商领取中标（成交）通知书 时，向采购代理机构提供一正两副纸质响应文件及电子版1份（签字盖章扫描PDF和word文档格式，U盘存储）。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供应商须具备城乡规划编制资质乙级及以上资质；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拟派项目负责人具备城乡规划工程师中级及以上职称；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供应商未被“信用中国（中国执行信息公开网）列为失信被执行人、重大税收违法失信主体，未被中国政府采购网（www.ccgp.gov.cn）列入政府采购严重违法失信行为记录名单;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完整的财务审计报告(成立时间至提交磋商响应文件截止时间不足一年的可提供成立后任意时段的资产负债表)，或磋商截止时间前六个月内其基本存款账户开户银行出具的资信证明及基本存款账户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无重大违法记录说明</w:t>
            </w:r>
          </w:p>
        </w:tc>
        <w:tc>
          <w:tcPr>
            <w:tcW w:type="dxa" w:w="3322"/>
          </w:tcPr>
          <w:p>
            <w:pPr>
              <w:pStyle w:val="null3"/>
            </w:pPr>
            <w:r>
              <w:rPr>
                <w:rFonts w:ascii="仿宋_GB2312" w:hAnsi="仿宋_GB2312" w:cs="仿宋_GB2312" w:eastAsia="仿宋_GB2312"/>
              </w:rPr>
              <w:t>参加本次采购活动前三年内，在政府采购活动中没有重大违法记录声明；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本项目专门面向中小企业采购项目，需提供中小企业声明函;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不接受联合体声明</w:t>
            </w:r>
          </w:p>
        </w:tc>
        <w:tc>
          <w:tcPr>
            <w:tcW w:type="dxa" w:w="3322"/>
          </w:tcPr>
          <w:p>
            <w:pPr>
              <w:pStyle w:val="null3"/>
            </w:pPr>
            <w:r>
              <w:rPr>
                <w:rFonts w:ascii="仿宋_GB2312" w:hAnsi="仿宋_GB2312" w:cs="仿宋_GB2312" w:eastAsia="仿宋_GB2312"/>
              </w:rPr>
              <w:t>本项目不接受联合体磋商（提供声明函）。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 求进行的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 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对本项目的理解程度</w:t>
            </w:r>
          </w:p>
        </w:tc>
        <w:tc>
          <w:tcPr>
            <w:tcW w:type="dxa" w:w="2492"/>
          </w:tcPr>
          <w:p>
            <w:pPr>
              <w:pStyle w:val="null3"/>
            </w:pPr>
            <w:r>
              <w:rPr>
                <w:rFonts w:ascii="仿宋_GB2312" w:hAnsi="仿宋_GB2312" w:cs="仿宋_GB2312" w:eastAsia="仿宋_GB2312"/>
              </w:rPr>
              <w:t>1、供应商针对本项目现状的理解程度，根据内容有效性、完整性综合比较优得5分，一般得2分。未提供不得分。 2、针对本项目发展目标的分析，根据内容有效性、完整性，综合比较优得5分，一般得2分。未提供不得分。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历史文化名镇保护规划编制工作方案</w:t>
            </w:r>
          </w:p>
        </w:tc>
        <w:tc>
          <w:tcPr>
            <w:tcW w:type="dxa" w:w="2492"/>
          </w:tcPr>
          <w:p>
            <w:pPr>
              <w:pStyle w:val="null3"/>
            </w:pPr>
            <w:r>
              <w:rPr>
                <w:rFonts w:ascii="仿宋_GB2312" w:hAnsi="仿宋_GB2312" w:cs="仿宋_GB2312" w:eastAsia="仿宋_GB2312"/>
              </w:rPr>
              <w:t>根据供应商对本项目的工作方案进行评审，包括但不限于以下内 容：①工作准备阶段②资料收集与分析整理阶段③数据处理分析阶段④实地调研⑤成果编制阶段⑥听证会及相关部门征求意见等相关材料整理⑦协调论证及修改完善阶段⑧成果上报验收阶段⑨成果移交⑩成果打印装订。 方案各部分内容全面详细、阐述条理清晰详尽、符合本项目采购需求，能有效保障本项目实施的计 20 分。以上分项每缺少一项内容扣 2 分；有某一项不完整或不符合实际要求或不满足实施要求或套用其他项目内容的每项得 1 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根据供应商对本项目提供的拟派项目团队进行评审，包括但不限于以下内容： ①拟投入本项目团队人员清单，清单至少包括姓名、分工等；②人员配备合理性； ③人员岗位职责。 方案各部分内容全面详细、阐述条理清晰详尽、符合本项目采购需求，能有效保障本项目实施的计9分。以上分项每缺少一项内容扣3分；未提供不得分。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项目质量管理保障措施</w:t>
            </w:r>
          </w:p>
        </w:tc>
        <w:tc>
          <w:tcPr>
            <w:tcW w:type="dxa" w:w="2492"/>
          </w:tcPr>
          <w:p>
            <w:pPr>
              <w:pStyle w:val="null3"/>
            </w:pPr>
            <w:r>
              <w:rPr>
                <w:rFonts w:ascii="仿宋_GB2312" w:hAnsi="仿宋_GB2312" w:cs="仿宋_GB2312" w:eastAsia="仿宋_GB2312"/>
              </w:rPr>
              <w:t>供应商针对本项目提供质量保障措施。质量保障措施及服务方案针对性、可执行性高且优于采购需求，得 10 分；质量保障措施及服务方案针对性、可执行性较高，能够满足采购需求得 6 分；质量保障措施及服务方案针对性、可执行性一般，但承诺后期能够实现采购需求的得 3 分；没有内容或其情况不满足磋商文件需求的不得分。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提供完善的数据安全保密措施，根据响应程度，得0-6分。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供应商针对本项目制定售后服务方案不限于服务计划、服务承诺等，根据售后服务方案详细程度，合理性，完善性，根据响应程度，得0-5分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供应商近三年内具有类似项目业绩（自磋商截止之日起前36个月内），业绩以合同签订日期或中标(成交通知书）为依据，响应文件中附有其证明资料，每提供一个业绩证明计 2 分，满分10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1.经初审合格的响应文件，其磋商报价为有效报价。 2.满足磋商文件实质性要求且最低的磋商报价价格为磋商基准价，其价格分为满分30分。 3.磋商报价得分=（磋商基准价/最终磋商报价）×30的公式计算得分。 4.磋商报价不完整的，不进入磋商基准价的计算，本项得0分。 5.各种计算采用插入法，数字均保留两位小数，第三位“四舍五入”。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