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版本号：JQ2025-ZFCG-03120251012001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2025年富平县薛镇达坡村产业路硬化项目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JQ2025-ZFCG-031</w:t>
      </w:r>
      <w:r>
        <w:br/>
      </w:r>
      <w:r>
        <w:br/>
      </w:r>
      <w:r>
        <w:br/>
      </w:r>
    </w:p>
    <w:p>
      <w:pPr>
        <w:pStyle w:val="null3"/>
        <w:jc w:val="center"/>
        <w:outlineLvl w:val="2"/>
      </w:pPr>
      <w:r>
        <w:rPr>
          <w:rFonts w:ascii="仿宋_GB2312" w:hAnsi="仿宋_GB2312" w:cs="仿宋_GB2312" w:eastAsia="仿宋_GB2312"/>
          <w:sz w:val="28"/>
          <w:b/>
        </w:rPr>
        <w:t>富平县薛镇人民政府（本级）</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富平县薛镇人民政府（本级）</w:t>
      </w:r>
      <w:r>
        <w:rPr>
          <w:rFonts w:ascii="仿宋_GB2312" w:hAnsi="仿宋_GB2312" w:cs="仿宋_GB2312" w:eastAsia="仿宋_GB2312"/>
        </w:rPr>
        <w:t>委托，拟对</w:t>
      </w:r>
      <w:r>
        <w:rPr>
          <w:rFonts w:ascii="仿宋_GB2312" w:hAnsi="仿宋_GB2312" w:cs="仿宋_GB2312" w:eastAsia="仿宋_GB2312"/>
        </w:rPr>
        <w:t>2025年富平县薛镇达坡村产业路硬化项目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JQ2025-ZFCG-031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2025年富平县薛镇达坡村产业路硬化项目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新修混凝土产业路5254m²(596m*4m+820m*3.5m),需1000m² 路基处理、厚度18cm。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采购包1（2025年富平县薛镇达坡村产业路硬化项目）：属于专门面向中小企业采购。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2、法定代表人授权委托书：提供法定代表人授权委托书（法定代表人参会提供法定代表人身份证明书）；</w:t>
      </w:r>
    </w:p>
    <w:p>
      <w:pPr>
        <w:pStyle w:val="null3"/>
      </w:pPr>
      <w:r>
        <w:rPr>
          <w:rFonts w:ascii="仿宋_GB2312" w:hAnsi="仿宋_GB2312" w:cs="仿宋_GB2312" w:eastAsia="仿宋_GB2312"/>
        </w:rPr>
        <w:t>3、项目经理：拟派项目经理须具备市政专业二级及以上（含二级）注册建造师执业资格和有效的安全生产考核合格证书；（可提供证书复印件或有可识别的二维码证书复印件并加盖公章），且无在建工程（须提供无在建工程的相关证明材料或承诺书）；</w:t>
      </w:r>
    </w:p>
    <w:p>
      <w:pPr>
        <w:pStyle w:val="null3"/>
      </w:pPr>
      <w:r>
        <w:rPr>
          <w:rFonts w:ascii="仿宋_GB2312" w:hAnsi="仿宋_GB2312" w:cs="仿宋_GB2312" w:eastAsia="仿宋_GB2312"/>
        </w:rPr>
        <w:t>4、资质证书：需具有建设行政主管部门核发的市政公用工程施工总承包三级及以上资质；</w:t>
      </w:r>
    </w:p>
    <w:p>
      <w:pPr>
        <w:pStyle w:val="null3"/>
      </w:pPr>
      <w:r>
        <w:rPr>
          <w:rFonts w:ascii="仿宋_GB2312" w:hAnsi="仿宋_GB2312" w:cs="仿宋_GB2312" w:eastAsia="仿宋_GB2312"/>
        </w:rPr>
        <w:t>5、安全许可证：须具有建设行政主管部门核发有效的安全生产许可证；</w:t>
      </w:r>
    </w:p>
    <w:p>
      <w:pPr>
        <w:pStyle w:val="null3"/>
      </w:pPr>
      <w:r>
        <w:rPr>
          <w:rFonts w:ascii="仿宋_GB2312" w:hAnsi="仿宋_GB2312" w:cs="仿宋_GB2312" w:eastAsia="仿宋_GB2312"/>
        </w:rPr>
        <w:t>6、供应商提供的健全的财务会计制度的证明材料：须提供2023年至今任意一年经审计的财务报告（成立时间至提交磋商响应文件截止时间不足一年的可提供成立后任意时段的财务报表）；</w:t>
      </w:r>
    </w:p>
    <w:p>
      <w:pPr>
        <w:pStyle w:val="null3"/>
      </w:pPr>
      <w:r>
        <w:rPr>
          <w:rFonts w:ascii="仿宋_GB2312" w:hAnsi="仿宋_GB2312" w:cs="仿宋_GB2312" w:eastAsia="仿宋_GB2312"/>
        </w:rPr>
        <w:t>7、依法缴纳税后的良好记录：须提供依法缴纳税收的良好记录（提供投标截止时间前六个月内任意一个月份的缴纳凭据复印件并加盖单位公章，依法免税或开标前一年内零申报的供应商应提供相关证明文件）；</w:t>
      </w:r>
    </w:p>
    <w:p>
      <w:pPr>
        <w:pStyle w:val="null3"/>
      </w:pPr>
      <w:r>
        <w:rPr>
          <w:rFonts w:ascii="仿宋_GB2312" w:hAnsi="仿宋_GB2312" w:cs="仿宋_GB2312" w:eastAsia="仿宋_GB2312"/>
        </w:rPr>
        <w:t>8、提供依法缴纳社会保障资金的良好记录：须提供依法缴纳社会保障资金的良好记录（提供投标截止时间前六个月内任意一个月份的缴纳凭据复印件并加盖单位公章）</w:t>
      </w:r>
    </w:p>
    <w:p>
      <w:pPr>
        <w:pStyle w:val="null3"/>
      </w:pPr>
      <w:r>
        <w:rPr>
          <w:rFonts w:ascii="仿宋_GB2312" w:hAnsi="仿宋_GB2312" w:cs="仿宋_GB2312" w:eastAsia="仿宋_GB2312"/>
        </w:rPr>
        <w:t>9、网站截图：投标截止日前不得为“信用中国”网站（www.creditchina.gov.cn）中列入失信被执行人、重大税收违法案件当事人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10、书面声明：提供近三年内在经营活动中无重大违法记录的书面声明；</w:t>
      </w:r>
    </w:p>
    <w:p>
      <w:pPr>
        <w:pStyle w:val="null3"/>
      </w:pPr>
      <w:r>
        <w:rPr>
          <w:rFonts w:ascii="仿宋_GB2312" w:hAnsi="仿宋_GB2312" w:cs="仿宋_GB2312" w:eastAsia="仿宋_GB2312"/>
        </w:rPr>
        <w:t>11、保证金银行转账凭证及基本账户信息证明资料：提供磋商保证金银行转账凭证及基本账户信息证明资料复印件或金融机构、担保机构出具的保函复印件，复印件均须加盖公章；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12、书面声明：提供单位负责人为同一人或者存在直接控股、管理关系的不同供应商，不得参加同一合同项下的政府采购活动的书面声明；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13、具有履行本合同所必需的设备和专业技术能力的说明及承诺：提供具有履行本合同所必需的设备和专业技术能力的说明及承诺；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富平县薛镇人民政府（本级）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富平县薛镇街道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罗稳军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18240835093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陕西省西安市高陵区东环路土地局家属院2幢6号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19992553727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开户名称：泾清项目管理有限公司富平分公司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银行账号：61050164830800002007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代理服务费优惠后按中标价格的6‰收取，招标代理费、编制标底费不计入工程造价。由中标单位支付。具体金额详见采购结果公告，在领取中标通知书时向采购代理机构一次付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富平县薛镇人民政府（本级）</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富平县薛镇人民政府（本级）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富平县薛镇人民政府（本级）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以采购文件及合同约定为准。工程质量满足国家或行业规范验收合格标准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联系人：许倩</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地址：陕西省西安市高陵区东环路土地局家属院2幢6号</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695,069.04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2025年富平县薛镇达坡村产业路硬化项目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标的名称：2025年富平县薛镇达坡村产业路硬化项目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6"/>
              </w:rPr>
              <w:t>项目内容：</w:t>
            </w:r>
            <w:r>
              <w:rPr>
                <w:rFonts w:ascii="仿宋_GB2312" w:hAnsi="仿宋_GB2312" w:cs="仿宋_GB2312" w:eastAsia="仿宋_GB2312"/>
                <w:sz w:val="16"/>
                <w:color w:val="000000"/>
              </w:rPr>
              <w:t>新修混凝土产业路5254m²(596m*4m+820m*3.5m),需1000m</w:t>
            </w:r>
            <w:r>
              <w:rPr>
                <w:rFonts w:ascii="仿宋_GB2312" w:hAnsi="仿宋_GB2312" w:cs="仿宋_GB2312" w:eastAsia="仿宋_GB2312"/>
                <w:sz w:val="16"/>
                <w:color w:val="000000"/>
              </w:rPr>
              <w:t>²</w:t>
            </w:r>
            <w:r>
              <w:rPr>
                <w:rFonts w:ascii="仿宋_GB2312" w:hAnsi="仿宋_GB2312" w:cs="仿宋_GB2312" w:eastAsia="仿宋_GB2312"/>
                <w:sz w:val="16"/>
                <w:color w:val="000000"/>
              </w:rPr>
              <w:t>路基处理、厚度18cm。</w:t>
            </w:r>
            <w:r>
              <w:rPr>
                <w:rFonts w:ascii="仿宋_GB2312" w:hAnsi="仿宋_GB2312" w:cs="仿宋_GB2312" w:eastAsia="仿宋_GB2312"/>
                <w:sz w:val="16"/>
                <w:color w:val="000000"/>
              </w:rPr>
              <w:t>；</w:t>
            </w:r>
            <w:r>
              <w:rPr>
                <w:rFonts w:ascii="仿宋_GB2312" w:hAnsi="仿宋_GB2312" w:cs="仿宋_GB2312" w:eastAsia="仿宋_GB2312"/>
                <w:sz w:val="16"/>
              </w:rPr>
              <w:t>（详见工程量清单）</w:t>
            </w:r>
          </w:p>
          <w:p>
            <w:pPr>
              <w:pStyle w:val="null3"/>
            </w:pPr>
            <w:r>
              <w:rPr>
                <w:rFonts w:ascii="仿宋_GB2312" w:hAnsi="仿宋_GB2312" w:cs="仿宋_GB2312" w:eastAsia="仿宋_GB2312"/>
                <w:sz w:val="16"/>
              </w:rPr>
              <w:t>工</w:t>
            </w:r>
            <w:r>
              <w:rPr>
                <w:rFonts w:ascii="仿宋_GB2312" w:hAnsi="仿宋_GB2312" w:cs="仿宋_GB2312" w:eastAsia="仿宋_GB2312"/>
                <w:sz w:val="16"/>
              </w:rPr>
              <w:t xml:space="preserve">  </w:t>
            </w:r>
            <w:r>
              <w:rPr>
                <w:rFonts w:ascii="仿宋_GB2312" w:hAnsi="仿宋_GB2312" w:cs="仿宋_GB2312" w:eastAsia="仿宋_GB2312"/>
                <w:sz w:val="16"/>
              </w:rPr>
              <w:t>期：</w:t>
            </w:r>
            <w:r>
              <w:rPr>
                <w:rFonts w:ascii="仿宋_GB2312" w:hAnsi="仿宋_GB2312" w:cs="仿宋_GB2312" w:eastAsia="仿宋_GB2312"/>
                <w:sz w:val="16"/>
              </w:rPr>
              <w:t>30日历天（具体起止日期以合同签订时间为准）</w:t>
            </w:r>
          </w:p>
          <w:p>
            <w:pPr>
              <w:pStyle w:val="null3"/>
            </w:pPr>
            <w:r>
              <w:rPr>
                <w:rFonts w:ascii="仿宋_GB2312" w:hAnsi="仿宋_GB2312" w:cs="仿宋_GB2312" w:eastAsia="仿宋_GB2312"/>
                <w:sz w:val="16"/>
              </w:rPr>
              <w:t>合同履约地点：甲方指定地点</w:t>
            </w:r>
          </w:p>
          <w:p>
            <w:pPr>
              <w:pStyle w:val="null3"/>
            </w:pPr>
            <w:r>
              <w:rPr>
                <w:rFonts w:ascii="仿宋_GB2312" w:hAnsi="仿宋_GB2312" w:cs="仿宋_GB2312" w:eastAsia="仿宋_GB2312"/>
                <w:sz w:val="16"/>
              </w:rPr>
              <w:t>工程质量：合格</w:t>
            </w:r>
          </w:p>
          <w:p>
            <w:pPr>
              <w:pStyle w:val="null3"/>
              <w:jc w:val="both"/>
            </w:pPr>
            <w:r>
              <w:rPr>
                <w:rFonts w:ascii="仿宋_GB2312" w:hAnsi="仿宋_GB2312" w:cs="仿宋_GB2312" w:eastAsia="仿宋_GB2312"/>
                <w:sz w:val="16"/>
              </w:rPr>
              <w:t>付款方式：合同签订后，支付合同总价30%作为预付款；在施工过程中，可按工程进度支付相应阶段的工程款；工程竣工验收合格后，付至合同总价款的80%；待工程决算审计报告经双方签字盖章确认后，付至审定金额的97%；剩余3%作为质量保证金，于缺陷责任期满后一次性付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关于财务会计制度的证明材料｛注：须提供2023年至今任意一年经审计的财务报告（成立时间至提交磋商响应文件截止时间不足一年的可提供成立后任意时段的财务报表）。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提供法定代表人授权委托书（法定代表人参会提供法定代表人身份证明书）；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专业二级及以上（含二级）注册建造师执业资格和有效的安全生产考核合格证书；（可提供证书复印件或有可识别的二维码证书复印件并加盖公章），且无在建工程（须提供无在建工程的相关证明材料或承诺书）；</w:t>
            </w:r>
          </w:p>
        </w:tc>
        <w:tc>
          <w:tcPr>
            <w:tcW w:type="dxa" w:w="1661"/>
          </w:tcPr>
          <w:p>
            <w:pPr>
              <w:pStyle w:val="null3"/>
            </w:pPr>
            <w:r>
              <w:rPr>
                <w:rFonts w:ascii="仿宋_GB2312" w:hAnsi="仿宋_GB2312" w:cs="仿宋_GB2312" w:eastAsia="仿宋_GB2312"/>
              </w:rPr>
              <w:t>项目管理机构组成表 资格证明材料.docx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需具有建设行政主管部门核发的市政公用工程施工总承包三级及以上资质；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安全许可证</w:t>
            </w:r>
          </w:p>
        </w:tc>
        <w:tc>
          <w:tcPr>
            <w:tcW w:type="dxa" w:w="3322"/>
          </w:tcPr>
          <w:p>
            <w:pPr>
              <w:pStyle w:val="null3"/>
            </w:pPr>
            <w:r>
              <w:rPr>
                <w:rFonts w:ascii="仿宋_GB2312" w:hAnsi="仿宋_GB2312" w:cs="仿宋_GB2312" w:eastAsia="仿宋_GB2312"/>
              </w:rPr>
              <w:t>须具有建设行政主管部门核发有效的安全生产许可证；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供应商提供的健全的财务会计制度的证明材料</w:t>
            </w:r>
          </w:p>
        </w:tc>
        <w:tc>
          <w:tcPr>
            <w:tcW w:type="dxa" w:w="3322"/>
          </w:tcPr>
          <w:p>
            <w:pPr>
              <w:pStyle w:val="null3"/>
            </w:pPr>
            <w:r>
              <w:rPr>
                <w:rFonts w:ascii="仿宋_GB2312" w:hAnsi="仿宋_GB2312" w:cs="仿宋_GB2312" w:eastAsia="仿宋_GB2312"/>
              </w:rPr>
              <w:t>须提供2023年至今任意一年经审计的财务报告（成立时间至提交磋商响应文件截止时间不足一年的可提供成立后任意时段的财务报表）；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依法缴纳税后的良好记录</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须提供依法缴纳税收的良好记录（提供投标截止时间前六个月内任意一个月份的缴纳凭据复印件并加盖单位公章，依法免税或开标前一年内零申报的供应商应提供相关证明文件）；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提供依法缴纳社会保障资金的良好记录</w:t>
            </w:r>
          </w:p>
        </w:tc>
        <w:tc>
          <w:tcPr>
            <w:tcW w:type="dxa" w:w="3322"/>
          </w:tcPr>
          <w:p>
            <w:pPr>
              <w:pStyle w:val="null3"/>
            </w:pPr>
            <w:r>
              <w:rPr>
                <w:rFonts w:ascii="仿宋_GB2312" w:hAnsi="仿宋_GB2312" w:cs="仿宋_GB2312" w:eastAsia="仿宋_GB2312"/>
              </w:rPr>
              <w:t>须提供依法缴纳社会保障资金的良好记录（提供投标截止时间前六个月内任意一个月份的缴纳凭据复印件并加盖单位公章）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案件当事人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保证金银行转账凭证及基本账户信息证明资料</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与证明资料一致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其他应说明的事项.docx 残疾人福利性单位声明函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针对本项目提供科学、可行、合理的施工方案与技术措施 1.施工方案科学、合理，技术 措施先进、可行计15分； 2.施工方案较为科学、合理， 技术措施较为先进、可行计 12分； 3.施工方案基本科学、合理，技术措施基本先进、可行计9 分； 4.施工方案一般，技术措施一般计 6分； 5.施工方案简单，技术措施简 单计 3（含）分； 6.未提供不得分。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1.措施内容科学可行、针对性强计10 分； 2.措施内容较科学可行、较详细、有较强针对性计8分； 3.措施内容基本科学可行、基本详细、有一定强针对性计6分； 4.措施内容一般、针对性一般计4分； 5.措施内容简单、无针对性计2分； 6.未提供不得分。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1.措施内容科学可行、针对性强计 8 分； 2.措施内容较科 学可行、较详细、有较强针对性计 6 分； 3.措施内容一般、针对性一般计 4 分； 4. 措施内容简单、无针对性计 2 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确保文明施工的技术措施及环境保护措施（包含治污减霾措施）</w:t>
            </w:r>
          </w:p>
        </w:tc>
        <w:tc>
          <w:tcPr>
            <w:tcW w:type="dxa" w:w="2492"/>
          </w:tcPr>
          <w:p>
            <w:pPr>
              <w:pStyle w:val="null3"/>
            </w:pPr>
            <w:r>
              <w:rPr>
                <w:rFonts w:ascii="仿宋_GB2312" w:hAnsi="仿宋_GB2312" w:cs="仿宋_GB2312" w:eastAsia="仿宋_GB2312"/>
              </w:rPr>
              <w:t>1.措施内容科学可行、针对性强计5 分； 2.措施内容较科 学可行、较详细、有较强针对性计3分； 3.措施内容一般、针对性一般计2分； 4. 措施内容简单、无针对性计1分； 5.未提供不得分。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确保工期的技术措施</w:t>
            </w:r>
          </w:p>
        </w:tc>
        <w:tc>
          <w:tcPr>
            <w:tcW w:type="dxa" w:w="2492"/>
          </w:tcPr>
          <w:p>
            <w:pPr>
              <w:pStyle w:val="null3"/>
            </w:pPr>
            <w:r>
              <w:rPr>
                <w:rFonts w:ascii="仿宋_GB2312" w:hAnsi="仿宋_GB2312" w:cs="仿宋_GB2312" w:eastAsia="仿宋_GB2312"/>
              </w:rPr>
              <w:t>1.措施内容科学可行、针对性 强计6 分； 2.措施内容较科 学可行、较详细、有较强针对性计4分； 3.措施内容一般、针对性一般计2分； 4. 措施内容简单、无针对性计1分；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1.绘制科学合理，反映整个施工过程， 内容科学合理计2分； 2.进度表或网络图错误或未提供不得计分。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施工机械设备配备计划和劳动力安排计划</w:t>
            </w:r>
          </w:p>
        </w:tc>
        <w:tc>
          <w:tcPr>
            <w:tcW w:type="dxa" w:w="2492"/>
          </w:tcPr>
          <w:p>
            <w:pPr>
              <w:pStyle w:val="null3"/>
            </w:pPr>
            <w:r>
              <w:rPr>
                <w:rFonts w:ascii="仿宋_GB2312" w:hAnsi="仿宋_GB2312" w:cs="仿宋_GB2312" w:eastAsia="仿宋_GB2312"/>
              </w:rPr>
              <w:t>1.机械、设备安排合理、完整、劳动力安排充足，人员结构合理计 5 分； 2.机械、设备安排较合理、完整、劳动力安排较充足，人员结构较合 理计3 分； 3.机械、设备安排基本合理、完整、劳动力安排基本充足，人员结构基本合理计 2 分； 4.机械、设备安 排简单、劳动力安排较合理或 不足计1分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采用新技术、新工艺对提供工程质量、缩短工期、降低造价 的 可行性自主打分。 1.方案 内容科学可行计 3 分； 2.方 案内容一般计 2 分； 3.方案 内容简单计 1 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近三年完成的类似业绩一项得2分，最多得6分（提供2022年6月1日至今类似工程；投标文件中须附类似工程业绩中标通知书或合同协议书或竣工验收证明材料复印件或扫描件，并加盖公章）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①评标基准价的确定：经对各供应商资格审查合格后，将有效投标价格最低的作为评标基准价，此项得满分；投标报价大于最高限价的，为无效报价，应作为无效标处理； ②根据下列公式计算出各供应商的投标报价与评标基准价的差异率。 其他供应商报价得分=(评标基准价／投标报价)×30%×100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