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版本号：HSZ2025—CGZB—045—0120251011001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富平县2025年中央水利发展资金水利工程设施维修养护(水质提升工程)(二次)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HSZ2025—CGZB—045—01</w:t>
      </w:r>
      <w:r>
        <w:br/>
      </w:r>
      <w:r>
        <w:br/>
      </w:r>
      <w:r>
        <w:br/>
      </w:r>
    </w:p>
    <w:p>
      <w:pPr>
        <w:pStyle w:val="null3"/>
        <w:jc w:val="center"/>
        <w:outlineLvl w:val="2"/>
      </w:pPr>
      <w:r>
        <w:rPr>
          <w:rFonts w:ascii="仿宋_GB2312" w:hAnsi="仿宋_GB2312" w:cs="仿宋_GB2312" w:eastAsia="仿宋_GB2312"/>
          <w:sz w:val="28"/>
          <w:b/>
        </w:rPr>
        <w:t>富平县水务局（本级）</w:t>
      </w:r>
    </w:p>
    <w:p>
      <w:pPr>
        <w:pStyle w:val="null3"/>
        <w:jc w:val="center"/>
        <w:outlineLvl w:val="2"/>
      </w:pPr>
      <w:r>
        <w:rPr>
          <w:rFonts w:ascii="仿宋_GB2312" w:hAnsi="仿宋_GB2312" w:cs="仿宋_GB2312" w:eastAsia="仿宋_GB2312"/>
          <w:sz w:val="28"/>
          <w:b/>
        </w:rPr>
        <w:t>陕西厷森项目管理有限公司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陕西厷森项目管理有限公司</w:t>
      </w:r>
      <w:r>
        <w:rPr>
          <w:rFonts w:ascii="仿宋_GB2312" w:hAnsi="仿宋_GB2312" w:cs="仿宋_GB2312" w:eastAsia="仿宋_GB2312"/>
        </w:rPr>
        <w:t>（以下简称“代理机构”）受</w:t>
      </w:r>
      <w:r>
        <w:rPr>
          <w:rFonts w:ascii="仿宋_GB2312" w:hAnsi="仿宋_GB2312" w:cs="仿宋_GB2312" w:eastAsia="仿宋_GB2312"/>
        </w:rPr>
        <w:t>富平县水务局（本级）</w:t>
      </w:r>
      <w:r>
        <w:rPr>
          <w:rFonts w:ascii="仿宋_GB2312" w:hAnsi="仿宋_GB2312" w:cs="仿宋_GB2312" w:eastAsia="仿宋_GB2312"/>
        </w:rPr>
        <w:t>委托，拟对</w:t>
      </w:r>
      <w:r>
        <w:rPr>
          <w:rFonts w:ascii="仿宋_GB2312" w:hAnsi="仿宋_GB2312" w:cs="仿宋_GB2312" w:eastAsia="仿宋_GB2312"/>
        </w:rPr>
        <w:t>富平县2025年中央水利发展资金水利工程设施维修养护(水质提升工程)(二次)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HSZ2025—CGZB—045—01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富平县2025年中央水利发展资金水利工程设施维修养护(水质提升工程)(二次)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本次需采购5套次氯酸钠发生器用于自来水消毒，日处理规模为3套3000m³、2套5000m³。同时，采购5套饮用水水质快速检测设备、5套配套试剂，含相关设备采购及安装调试。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采购包1（富平县2025年中央水利发展资金水利工程设施维修养护(水质提升工程)）：属于专门面向中小企业采购。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提供法定代表人授权委托书（附法定代表人、被授权人身份证复印件）；法定代表人参加投标只须提供法定代表人身份证明（附法定代表人身份证复印件）：提供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提供2024年度经审计的财务报告或开标前近三个月内基本开户银行开具的资信证明（成立时间至提交投标文件截止时间不足一年的可提供成立后任意时段的财务报表）：提供2024年度经审计的财务报告或开标前近三个月内基本开户银行开具的资信证明（成立时间至提交投标文件截止时间不足一年的可提供成立后任意时段的财务报表）；</w:t>
      </w:r>
    </w:p>
    <w:p>
      <w:pPr>
        <w:pStyle w:val="null3"/>
      </w:pPr>
      <w:r>
        <w:rPr>
          <w:rFonts w:ascii="仿宋_GB2312" w:hAnsi="仿宋_GB2312" w:cs="仿宋_GB2312" w:eastAsia="仿宋_GB2312"/>
        </w:rPr>
        <w:t>4、提供依法缴纳税收的良好记录（提供投标截止时间前六个月内任意一个月份的缴纳凭据复印件并加盖单位公章。依法免税或开标前一年内零申报的投标人应提供相关证明文件）：提供依法缴纳税收的良好记录（提供投标截止时间前六个月内任意一个月份的缴纳凭据复印件并加盖单位公章。依法免税或开标前一年内零申报的投标人应提供相关证明文件）；</w:t>
      </w:r>
    </w:p>
    <w:p>
      <w:pPr>
        <w:pStyle w:val="null3"/>
      </w:pPr>
      <w:r>
        <w:rPr>
          <w:rFonts w:ascii="仿宋_GB2312" w:hAnsi="仿宋_GB2312" w:cs="仿宋_GB2312" w:eastAsia="仿宋_GB2312"/>
        </w:rPr>
        <w:t>5、提供依法缴纳社会保障资金的良好记录（提供投标截止时间前六个月内任意一个月份的缴纳凭据复印件并加盖单位公章。依法不需要缴纳社会保障资金的投标人应提供相关证明文件）：提供依法缴纳社会保障资金的良好记录（提供投标截止时间前六个月内任意一个月份的缴纳凭据复印件并加盖单位公章。依法不需要缴纳社会保障资金的投标人应提供相关证明文件）；</w:t>
      </w:r>
    </w:p>
    <w:p>
      <w:pPr>
        <w:pStyle w:val="null3"/>
      </w:pPr>
      <w:r>
        <w:rPr>
          <w:rFonts w:ascii="仿宋_GB2312" w:hAnsi="仿宋_GB2312" w:cs="仿宋_GB2312" w:eastAsia="仿宋_GB2312"/>
        </w:rPr>
        <w:t>6、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开标现场查询结果为准）：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开标现场查询结果为准）；</w:t>
      </w:r>
    </w:p>
    <w:p>
      <w:pPr>
        <w:pStyle w:val="null3"/>
      </w:pPr>
      <w:r>
        <w:rPr>
          <w:rFonts w:ascii="仿宋_GB2312" w:hAnsi="仿宋_GB2312" w:cs="仿宋_GB2312" w:eastAsia="仿宋_GB2312"/>
        </w:rPr>
        <w:t>7、提供近三年内在经营活动中无重大违法记录的书面声明：提供近三年内在经营活动中无重大违法记录的书面声明；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8、提供投标保证金银行转账凭证及基本账户信息复印件或金融机构、担保机构出具的保函复印件，复印件均须加盖公章：提供投标保证金银行转账凭证及基本账户信息复印件或金融机构、担保机构出具的保函复印件，复印件均须加盖公章；</w:t>
      </w:r>
    </w:p>
    <w:p>
      <w:pPr>
        <w:pStyle w:val="null3"/>
      </w:pPr>
      <w:r>
        <w:rPr>
          <w:rFonts w:ascii="仿宋_GB2312" w:hAnsi="仿宋_GB2312" w:cs="仿宋_GB2312" w:eastAsia="仿宋_GB2312"/>
        </w:rPr>
        <w:t>9、提供单位负责人为同一人或者存在直接控股、管理关系的不同投标人，不得参加同一合同项下的政府采购活动的书面声明：提供单位负责人为同一人或者存在直接控股、管理关系的不同投标人，不得参加同一合同项下的政府采购活动的书面声明；</w:t>
      </w:r>
    </w:p>
    <w:p>
      <w:pPr>
        <w:pStyle w:val="null3"/>
      </w:pPr>
      <w:r>
        <w:rPr>
          <w:rFonts w:ascii="仿宋_GB2312" w:hAnsi="仿宋_GB2312" w:cs="仿宋_GB2312" w:eastAsia="仿宋_GB2312"/>
        </w:rPr>
        <w:t>10、提供具有履行本合同所必需的设备和专业技术能力的说明及承诺：提供具有履行本合同所必需的设备和专业技术能力的说明及承诺；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11、本项目专门面向中小企业采购，投标人须提供《中小企业声明函》：本项目专门面向中小企业采购，投标人须提供《中小企业声明函》；</w:t>
      </w:r>
    </w:p>
    <w:p>
      <w:pPr>
        <w:pStyle w:val="null3"/>
      </w:pPr>
      <w:r>
        <w:rPr>
          <w:rFonts w:ascii="仿宋_GB2312" w:hAnsi="仿宋_GB2312" w:cs="仿宋_GB2312" w:eastAsia="仿宋_GB2312"/>
        </w:rPr>
        <w:t>12、投标人为生产厂家的须具备有效的消毒产品生产企业卫生许可证、涉水产品卫生许可批件；投标人为代理经销商的，须提供生产厂家的消毒产品生产企业卫生许可证、涉水产品卫生许可批件：投标人为生产厂家的须具备有效的消毒产品生产企业卫生许可证、涉水产品卫生许可批件；投标人为代理经销商的，须提供生产厂家的消毒产品生产企业卫生许可证、涉水产品卫生许可批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富平县水务局（本级）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富平县人民路3号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0913-8231641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陕西厷森项目管理有限公司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陕西省渭南市富平县城关街道办事处书店社区富兴路中段西侧商务楼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0913-8921111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开户名称：陕西厷森项目管理有限公司</w:t>
            </w:r>
          </w:p>
          <w:p>
            <w:pPr>
              <w:pStyle w:val="null3"/>
            </w:pPr>
            <w:r>
              <w:rPr>
                <w:rFonts w:ascii="仿宋_GB2312" w:hAnsi="仿宋_GB2312" w:cs="仿宋_GB2312" w:eastAsia="仿宋_GB2312"/>
              </w:rPr>
              <w:t>开户银行：中国农业银行股份有限公司富平县支行</w:t>
            </w:r>
          </w:p>
          <w:p>
            <w:pPr>
              <w:pStyle w:val="null3"/>
            </w:pPr>
            <w:r>
              <w:rPr>
                <w:rFonts w:ascii="仿宋_GB2312" w:hAnsi="仿宋_GB2312" w:cs="仿宋_GB2312" w:eastAsia="仿宋_GB2312"/>
              </w:rPr>
              <w:t>银行账号：26555101040024098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考《招标代理服务收费管理暂行办法》的通知（计价格〔2002〕1980号）计算，按照《国家发展改革委办公厅关于招标代理服务收费有关问题的通知》（发改办价格〔2003〕857号）规定向中标人收取。 若本次招标失败（非代理机构原因），代理服务费由采购人支付。具体金额以采购代理机构开具的税票金额为准，中标人在领取中标通知书时向采购代理机构一次性支付。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富平县水务局（本级）</w:t>
      </w:r>
      <w:r>
        <w:rPr>
          <w:rFonts w:ascii="仿宋_GB2312" w:hAnsi="仿宋_GB2312" w:cs="仿宋_GB2312" w:eastAsia="仿宋_GB2312"/>
        </w:rPr>
        <w:t>和</w:t>
      </w:r>
      <w:r>
        <w:rPr>
          <w:rFonts w:ascii="仿宋_GB2312" w:hAnsi="仿宋_GB2312" w:cs="仿宋_GB2312" w:eastAsia="仿宋_GB2312"/>
        </w:rPr>
        <w:t>陕西厷森项目管理有限公司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富平县水务局（本级）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陕西厷森项目管理有限公司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富平县水务局（本级）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陕西厷森项目管理有限公司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验收标准：以国家标准、行业标准或合同文本供货清单中描述的有关技术要求为准。 验收方法：1、初验：货物到达交货地点后，由使用单位根据合同对货物 (设备) 的名称、品牌、规格、型号、产地、数量进行检查。2、终验：所有货物(设备)安装、调试完毕，正常使用30个日历日后，由采购人进行终验 (最终验收) ，合格后签发《终验合格单》。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陕西厷森项目管理有限公司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联系人：程工</w:t>
      </w:r>
    </w:p>
    <w:p>
      <w:pPr>
        <w:pStyle w:val="null3"/>
      </w:pPr>
      <w:r>
        <w:rPr>
          <w:rFonts w:ascii="仿宋_GB2312" w:hAnsi="仿宋_GB2312" w:cs="仿宋_GB2312" w:eastAsia="仿宋_GB2312"/>
        </w:rPr>
        <w:t>联系电话：0913-8921111</w:t>
      </w:r>
    </w:p>
    <w:p>
      <w:pPr>
        <w:pStyle w:val="null3"/>
      </w:pPr>
      <w:r>
        <w:rPr>
          <w:rFonts w:ascii="仿宋_GB2312" w:hAnsi="仿宋_GB2312" w:cs="仿宋_GB2312" w:eastAsia="仿宋_GB2312"/>
        </w:rPr>
        <w:t>地址：陕西省渭南市富平县城关街道办事处书店社区富兴路中段西侧商务楼</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本次需采购5套次氯酸钠发生器用于自来水消毒，日处理规模为3套3000m³、2套5000m³。同时，采购5套饮用水水质快速检测设备、5套配套试剂，含相关设备采购及安装调试。</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化学方法消毒设备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标的名称：化学方法消毒设备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一、次氯酸钠发生器（核心产品）技术要求</w:t>
            </w:r>
          </w:p>
          <w:tbl>
            <w:tblPr>
              <w:tblInd w:type="dxa" w:w="90"/>
              <w:tblBorders>
                <w:top w:val="none" w:color="000000" w:sz="4"/>
                <w:left w:val="none" w:color="000000" w:sz="4"/>
                <w:bottom w:val="none" w:color="000000" w:sz="4"/>
                <w:right w:val="none" w:color="000000" w:sz="4"/>
                <w:insideH w:val="none"/>
                <w:insideV w:val="none"/>
              </w:tblBorders>
            </w:tblPr>
            <w:tblGrid>
              <w:gridCol w:w="697"/>
              <w:gridCol w:w="1368"/>
              <w:gridCol w:w="216"/>
              <w:gridCol w:w="256"/>
            </w:tblGrid>
            <w:tr>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1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参数</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处理量</w:t>
                  </w:r>
                  <w:r>
                    <w:rPr>
                      <w:rFonts w:ascii="仿宋_GB2312" w:hAnsi="仿宋_GB2312" w:cs="仿宋_GB2312" w:eastAsia="仿宋_GB2312"/>
                      <w:sz w:val="22"/>
                      <w:color w:val="000000"/>
                    </w:rPr>
                    <w:t>3000立方/D</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1、主机制备产量0.3kg/h,N=2.0kW,电解槽1只；</w:t>
                  </w:r>
                </w:p>
                <w:p>
                  <w:pPr>
                    <w:pStyle w:val="null3"/>
                    <w:jc w:val="both"/>
                  </w:pPr>
                  <w:r>
                    <w:rPr>
                      <w:rFonts w:ascii="仿宋_GB2312" w:hAnsi="仿宋_GB2312" w:cs="仿宋_GB2312" w:eastAsia="仿宋_GB2312"/>
                      <w:sz w:val="22"/>
                      <w:color w:val="000000"/>
                    </w:rPr>
                    <w:t>2、整流器100A/24V  1台</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3、软水器含树脂,200L/H  1套</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4、稀释水10L,配套自动补水器  1套</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5、溶盐罐120L，配套自动补水器 1套</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6、产品罐120L，配套高中低液位信号 1套</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rPr>
                    <w:t>7、酸洗装置  1套</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color w:val="000000"/>
                    </w:rPr>
                    <w:t>8、软水泵39L/h  1台</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9、盐水泵9L/h   1台</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10、加氯投加泵48L/h, 1台</w:t>
                  </w:r>
                  <w:r>
                    <w:rPr>
                      <w:rFonts w:ascii="仿宋_GB2312" w:hAnsi="仿宋_GB2312" w:cs="仿宋_GB2312" w:eastAsia="仿宋_GB2312"/>
                      <w:sz w:val="22"/>
                      <w:color w:val="000000"/>
                    </w:rPr>
                    <w:t>。</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处理量</w:t>
                  </w:r>
                  <w:r>
                    <w:rPr>
                      <w:rFonts w:ascii="仿宋_GB2312" w:hAnsi="仿宋_GB2312" w:cs="仿宋_GB2312" w:eastAsia="仿宋_GB2312"/>
                      <w:sz w:val="22"/>
                      <w:color w:val="000000"/>
                    </w:rPr>
                    <w:t>5000立方/D</w:t>
                  </w:r>
                </w:p>
              </w:tc>
              <w:tc>
                <w:tcPr>
                  <w:tcW w:type="dxa" w:w="1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1、主机制备产量0.5kg/h,N=3.0</w:t>
                  </w:r>
                  <w:r>
                    <w:rPr>
                      <w:rFonts w:ascii="仿宋_GB2312" w:hAnsi="仿宋_GB2312" w:cs="仿宋_GB2312" w:eastAsia="仿宋_GB2312"/>
                      <w:sz w:val="22"/>
                      <w:color w:val="000000"/>
                    </w:rPr>
                    <w:t>kW</w:t>
                  </w:r>
                  <w:r>
                    <w:rPr>
                      <w:rFonts w:ascii="仿宋_GB2312" w:hAnsi="仿宋_GB2312" w:cs="仿宋_GB2312" w:eastAsia="仿宋_GB2312"/>
                      <w:sz w:val="22"/>
                      <w:color w:val="000000"/>
                    </w:rPr>
                    <w:t>,电解槽1只；</w:t>
                  </w:r>
                </w:p>
                <w:p>
                  <w:pPr>
                    <w:pStyle w:val="null3"/>
                    <w:jc w:val="both"/>
                  </w:pPr>
                  <w:r>
                    <w:rPr>
                      <w:rFonts w:ascii="仿宋_GB2312" w:hAnsi="仿宋_GB2312" w:cs="仿宋_GB2312" w:eastAsia="仿宋_GB2312"/>
                      <w:sz w:val="22"/>
                      <w:color w:val="000000"/>
                    </w:rPr>
                    <w:t>2、整流器120A/24V  1台</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3、软水器含树脂,300L/H  1套</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4、稀释水10L,配套自动补水器  1套</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5、溶盐罐150L，配套自动补水器 1套</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6、产品罐150L，配套高中低液位信号 1套</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rPr>
                    <w:t>7、酸洗装置  1套</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color w:val="000000"/>
                    </w:rPr>
                    <w:t>8、软水泵65L/h  1台</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9、盐水泵15L/h   1台</w:t>
                  </w:r>
                  <w:r>
                    <w:rPr>
                      <w:rFonts w:ascii="仿宋_GB2312" w:hAnsi="仿宋_GB2312" w:cs="仿宋_GB2312" w:eastAsia="仿宋_GB2312"/>
                      <w:sz w:val="22"/>
                      <w:color w:val="000000"/>
                    </w:rPr>
                    <w:t>；</w:t>
                  </w:r>
                </w:p>
                <w:p>
                  <w:pPr>
                    <w:pStyle w:val="null3"/>
                    <w:jc w:val="both"/>
                  </w:pPr>
                  <w:r>
                    <w:rPr>
                      <w:rFonts w:ascii="仿宋_GB2312" w:hAnsi="仿宋_GB2312" w:cs="仿宋_GB2312" w:eastAsia="仿宋_GB2312"/>
                      <w:sz w:val="22"/>
                      <w:color w:val="000000"/>
                    </w:rPr>
                    <w:t>10、加氯投加泵80L/h, 1台</w:t>
                  </w:r>
                  <w:r>
                    <w:rPr>
                      <w:rFonts w:ascii="仿宋_GB2312" w:hAnsi="仿宋_GB2312" w:cs="仿宋_GB2312" w:eastAsia="仿宋_GB2312"/>
                      <w:sz w:val="22"/>
                      <w:color w:val="000000"/>
                    </w:rPr>
                    <w:t>。</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r>
          </w:tbl>
          <w:p>
            <w:pPr>
              <w:pStyle w:val="null3"/>
            </w:pPr>
            <w:r>
              <w:rPr>
                <w:rFonts w:ascii="仿宋_GB2312" w:hAnsi="仿宋_GB2312" w:cs="仿宋_GB2312" w:eastAsia="仿宋_GB2312"/>
                <w:sz w:val="24"/>
                <w:b/>
              </w:rPr>
              <w:t>二、饮用水水质快速检测设备技术要求</w:t>
            </w:r>
          </w:p>
          <w:tbl>
            <w:tblPr>
              <w:tblInd w:type="dxa" w:w="90"/>
              <w:tblBorders>
                <w:top w:val="none" w:color="000000" w:sz="4"/>
                <w:left w:val="none" w:color="000000" w:sz="4"/>
                <w:bottom w:val="none" w:color="000000" w:sz="4"/>
                <w:right w:val="none" w:color="000000" w:sz="4"/>
                <w:insideH w:val="none"/>
                <w:insideV w:val="none"/>
              </w:tblBorders>
            </w:tblPr>
            <w:tblGrid>
              <w:gridCol w:w="248"/>
              <w:gridCol w:w="244"/>
              <w:gridCol w:w="291"/>
              <w:gridCol w:w="939"/>
              <w:gridCol w:w="403"/>
              <w:gridCol w:w="240"/>
              <w:gridCol w:w="171"/>
            </w:tblGrid>
            <w:tr>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分项指标</w:t>
                  </w:r>
                </w:p>
              </w:tc>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检测</w:t>
                  </w:r>
                </w:p>
                <w:p>
                  <w:pPr>
                    <w:pStyle w:val="null3"/>
                    <w:jc w:val="center"/>
                  </w:pPr>
                  <w:r>
                    <w:rPr>
                      <w:rFonts w:ascii="仿宋_GB2312" w:hAnsi="仿宋_GB2312" w:cs="仿宋_GB2312" w:eastAsia="仿宋_GB2312"/>
                      <w:sz w:val="22"/>
                      <w:color w:val="000000"/>
                    </w:rPr>
                    <w:t>仪器</w:t>
                  </w:r>
                </w:p>
              </w:tc>
              <w:tc>
                <w:tcPr>
                  <w:tcW w:type="dxa" w:w="9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参数</w:t>
                  </w:r>
                </w:p>
              </w:tc>
              <w:tc>
                <w:tcPr>
                  <w:tcW w:type="dxa" w:w="4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标配包含的试剂和数量</w:t>
                  </w:r>
                </w:p>
              </w:tc>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2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出厂水日检</w:t>
                  </w:r>
                  <w:r>
                    <w:rPr>
                      <w:rFonts w:ascii="仿宋_GB2312" w:hAnsi="仿宋_GB2312" w:cs="仿宋_GB2312" w:eastAsia="仿宋_GB2312"/>
                      <w:sz w:val="22"/>
                      <w:color w:val="000000"/>
                    </w:rPr>
                    <w:t>9项检测仪器</w:t>
                  </w: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耗氧量</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耗氧量检测仪</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耗氧量：</w:t>
                  </w:r>
                  <w:r>
                    <w:rPr>
                      <w:rFonts w:ascii="仿宋_GB2312" w:hAnsi="仿宋_GB2312" w:cs="仿宋_GB2312" w:eastAsia="仿宋_GB2312"/>
                      <w:sz w:val="22"/>
                      <w:color w:val="000000"/>
                    </w:rPr>
                    <w:t>0.5 - 10.00mg/L</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4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r>
              <w:tc>
                <w:tcPr>
                  <w:tcW w:type="dxa" w:w="248"/>
                  <w:vMerge/>
                  <w:tcBorders>
                    <w:top w:val="none" w:color="000000" w:sz="4"/>
                    <w:left w:val="single" w:color="000000" w:sz="4"/>
                    <w:bottom w:val="single" w:color="000000" w:sz="4"/>
                    <w:right w:val="single" w:color="000000" w:sz="4"/>
                  </w:tcBorders>
                </w:tcPr>
                <w:p/>
              </w:tc>
              <w:tc>
                <w:tcPr>
                  <w:tcW w:type="dxa" w:w="24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余氯、浊度、色度、</w:t>
                  </w:r>
                  <w:r>
                    <w:rPr>
                      <w:rFonts w:ascii="仿宋_GB2312" w:hAnsi="仿宋_GB2312" w:cs="仿宋_GB2312" w:eastAsia="仿宋_GB2312"/>
                      <w:sz w:val="22"/>
                      <w:color w:val="000000"/>
                    </w:rPr>
                    <w:t>PH</w:t>
                  </w:r>
                </w:p>
                <w:p>
                  <w:pPr>
                    <w:pStyle w:val="null3"/>
                    <w:jc w:val="center"/>
                  </w:pPr>
                </w:p>
              </w:tc>
              <w:tc>
                <w:tcPr>
                  <w:tcW w:type="dxa" w:w="2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多参数检测仪</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游离余氯和总余氯</w:t>
                  </w:r>
                  <w:r>
                    <w:rPr>
                      <w:rFonts w:ascii="仿宋_GB2312" w:hAnsi="仿宋_GB2312" w:cs="仿宋_GB2312" w:eastAsia="仿宋_GB2312"/>
                      <w:sz w:val="22"/>
                      <w:color w:val="000000"/>
                    </w:rPr>
                    <w:t>0.01-5.00mg/L</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检测试剂</w:t>
                  </w:r>
                  <w:r>
                    <w:rPr>
                      <w:rFonts w:ascii="仿宋_GB2312" w:hAnsi="仿宋_GB2312" w:cs="仿宋_GB2312" w:eastAsia="仿宋_GB2312"/>
                      <w:sz w:val="22"/>
                      <w:color w:val="000000"/>
                    </w:rPr>
                    <w:t>100次</w:t>
                  </w:r>
                </w:p>
              </w:tc>
              <w:tc>
                <w:tcPr>
                  <w:tcW w:type="dxa" w:w="240"/>
                  <w:vMerge/>
                  <w:tcBorders>
                    <w:top w:val="none" w:color="000000" w:sz="4"/>
                    <w:left w:val="single" w:color="000000" w:sz="4"/>
                    <w:bottom w:val="single" w:color="000000" w:sz="4"/>
                    <w:right w:val="single" w:color="000000" w:sz="4"/>
                  </w:tcBorders>
                </w:tcPr>
                <w:p/>
              </w:tc>
              <w:tc>
                <w:tcPr>
                  <w:tcW w:type="dxa" w:w="171"/>
                  <w:vMerge/>
                  <w:tcBorders>
                    <w:top w:val="none" w:color="000000" w:sz="4"/>
                    <w:left w:val="single" w:color="000000" w:sz="4"/>
                    <w:bottom w:val="single" w:color="000000" w:sz="4"/>
                    <w:right w:val="single" w:color="000000" w:sz="4"/>
                  </w:tcBorders>
                </w:tcPr>
                <w:p/>
              </w:tc>
            </w:tr>
            <w:tr>
              <w:tc>
                <w:tcPr>
                  <w:tcW w:type="dxa" w:w="248"/>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291"/>
                  <w:vMerge/>
                  <w:tcBorders>
                    <w:top w:val="none" w:color="000000" w:sz="4"/>
                    <w:left w:val="single" w:color="000000" w:sz="4"/>
                    <w:bottom w:val="single" w:color="000000" w:sz="4"/>
                    <w:right w:val="single" w:color="000000" w:sz="4"/>
                  </w:tcBorders>
                </w:tcP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885"/>
                    <w:jc w:val="both"/>
                  </w:pPr>
                  <w:r>
                    <w:rPr>
                      <w:rFonts w:ascii="仿宋_GB2312" w:hAnsi="仿宋_GB2312" w:cs="仿宋_GB2312" w:eastAsia="仿宋_GB2312"/>
                      <w:sz w:val="22"/>
                      <w:color w:val="000000"/>
                    </w:rPr>
                    <w:t>浊度：</w:t>
                  </w:r>
                  <w:r>
                    <w:rPr>
                      <w:rFonts w:ascii="仿宋_GB2312" w:hAnsi="仿宋_GB2312" w:cs="仿宋_GB2312" w:eastAsia="仿宋_GB2312"/>
                      <w:sz w:val="22"/>
                      <w:color w:val="000000"/>
                    </w:rPr>
                    <w:t>0 - 10</w:t>
                  </w:r>
                  <w:r>
                    <w:rPr>
                      <w:rFonts w:ascii="仿宋_GB2312" w:hAnsi="仿宋_GB2312" w:cs="仿宋_GB2312" w:eastAsia="仿宋_GB2312"/>
                      <w:sz w:val="22"/>
                      <w:color w:val="000000"/>
                    </w:rPr>
                    <w:t>0</w:t>
                  </w:r>
                  <w:r>
                    <w:rPr>
                      <w:rFonts w:ascii="仿宋_GB2312" w:hAnsi="仿宋_GB2312" w:cs="仿宋_GB2312" w:eastAsia="仿宋_GB2312"/>
                      <w:sz w:val="22"/>
                      <w:color w:val="000000"/>
                    </w:rPr>
                    <w:t>0 NTU</w:t>
                  </w:r>
                  <w:r>
                    <w:rPr>
                      <w:rFonts w:ascii="仿宋_GB2312" w:hAnsi="仿宋_GB2312" w:cs="仿宋_GB2312" w:eastAsia="仿宋_GB2312"/>
                      <w:sz w:val="22"/>
                    </w:rPr>
                    <w:t xml:space="preserve"> </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检测试剂</w:t>
                  </w:r>
                </w:p>
                <w:p>
                  <w:pPr>
                    <w:pStyle w:val="null3"/>
                    <w:jc w:val="center"/>
                  </w:pPr>
                  <w:r>
                    <w:rPr>
                      <w:rFonts w:ascii="仿宋_GB2312" w:hAnsi="仿宋_GB2312" w:cs="仿宋_GB2312" w:eastAsia="仿宋_GB2312"/>
                      <w:sz w:val="22"/>
                      <w:color w:val="000000"/>
                    </w:rPr>
                    <w:t>40次</w:t>
                  </w:r>
                </w:p>
              </w:tc>
              <w:tc>
                <w:tcPr>
                  <w:tcW w:type="dxa" w:w="240"/>
                  <w:vMerge/>
                  <w:tcBorders>
                    <w:top w:val="none" w:color="000000" w:sz="4"/>
                    <w:left w:val="single" w:color="000000" w:sz="4"/>
                    <w:bottom w:val="single" w:color="000000" w:sz="4"/>
                    <w:right w:val="single" w:color="000000" w:sz="4"/>
                  </w:tcBorders>
                </w:tcPr>
                <w:p/>
              </w:tc>
              <w:tc>
                <w:tcPr>
                  <w:tcW w:type="dxa" w:w="171"/>
                  <w:vMerge/>
                  <w:tcBorders>
                    <w:top w:val="none" w:color="000000" w:sz="4"/>
                    <w:left w:val="single" w:color="000000" w:sz="4"/>
                    <w:bottom w:val="single" w:color="000000" w:sz="4"/>
                    <w:right w:val="single" w:color="000000" w:sz="4"/>
                  </w:tcBorders>
                </w:tcPr>
                <w:p/>
              </w:tc>
            </w:tr>
            <w:tr>
              <w:tc>
                <w:tcPr>
                  <w:tcW w:type="dxa" w:w="248"/>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291"/>
                  <w:vMerge/>
                  <w:tcBorders>
                    <w:top w:val="none" w:color="000000" w:sz="4"/>
                    <w:left w:val="single" w:color="000000" w:sz="4"/>
                    <w:bottom w:val="single" w:color="000000" w:sz="4"/>
                    <w:right w:val="single" w:color="000000" w:sz="4"/>
                  </w:tcBorders>
                </w:tcP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0"/>
                  <w:vMerge/>
                  <w:tcBorders>
                    <w:top w:val="none" w:color="000000" w:sz="4"/>
                    <w:left w:val="single" w:color="000000" w:sz="4"/>
                    <w:bottom w:val="single" w:color="000000" w:sz="4"/>
                    <w:right w:val="single" w:color="000000" w:sz="4"/>
                  </w:tcBorders>
                </w:tcPr>
                <w:p/>
              </w:tc>
              <w:tc>
                <w:tcPr>
                  <w:tcW w:type="dxa" w:w="171"/>
                  <w:vMerge/>
                  <w:tcBorders>
                    <w:top w:val="none" w:color="000000" w:sz="4"/>
                    <w:left w:val="single" w:color="000000" w:sz="4"/>
                    <w:bottom w:val="single" w:color="000000" w:sz="4"/>
                    <w:right w:val="single" w:color="000000" w:sz="4"/>
                  </w:tcBorders>
                </w:tcPr>
                <w:p/>
              </w:tc>
            </w:tr>
            <w:tr>
              <w:tc>
                <w:tcPr>
                  <w:tcW w:type="dxa" w:w="248"/>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291"/>
                  <w:vMerge/>
                  <w:tcBorders>
                    <w:top w:val="none" w:color="000000" w:sz="4"/>
                    <w:left w:val="single" w:color="000000" w:sz="4"/>
                    <w:bottom w:val="single" w:color="000000" w:sz="4"/>
                    <w:right w:val="single" w:color="000000" w:sz="4"/>
                  </w:tcBorders>
                </w:tcP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色度：</w:t>
                  </w:r>
                  <w:r>
                    <w:rPr>
                      <w:rFonts w:ascii="仿宋_GB2312" w:hAnsi="仿宋_GB2312" w:cs="仿宋_GB2312" w:eastAsia="仿宋_GB2312"/>
                      <w:sz w:val="22"/>
                      <w:color w:val="000000"/>
                    </w:rPr>
                    <w:t>1-500度</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240"/>
                  <w:vMerge/>
                  <w:tcBorders>
                    <w:top w:val="none" w:color="000000" w:sz="4"/>
                    <w:left w:val="single" w:color="000000" w:sz="4"/>
                    <w:bottom w:val="single" w:color="000000" w:sz="4"/>
                    <w:right w:val="single" w:color="000000" w:sz="4"/>
                  </w:tcBorders>
                </w:tcPr>
                <w:p/>
              </w:tc>
              <w:tc>
                <w:tcPr>
                  <w:tcW w:type="dxa" w:w="171"/>
                  <w:vMerge/>
                  <w:tcBorders>
                    <w:top w:val="none" w:color="000000" w:sz="4"/>
                    <w:left w:val="single" w:color="000000" w:sz="4"/>
                    <w:bottom w:val="single" w:color="000000" w:sz="4"/>
                    <w:right w:val="single" w:color="000000" w:sz="4"/>
                  </w:tcBorders>
                </w:tcPr>
                <w:p/>
              </w:tc>
            </w:tr>
            <w:tr>
              <w:tc>
                <w:tcPr>
                  <w:tcW w:type="dxa" w:w="248"/>
                  <w:vMerge/>
                  <w:tcBorders>
                    <w:top w:val="none" w:color="000000" w:sz="4"/>
                    <w:left w:val="single" w:color="000000" w:sz="4"/>
                    <w:bottom w:val="single" w:color="000000" w:sz="4"/>
                    <w:right w:val="single" w:color="000000" w:sz="4"/>
                  </w:tcBorders>
                </w:tcPr>
                <w:p/>
              </w:tc>
              <w:tc>
                <w:tcPr>
                  <w:tcW w:type="dxa" w:w="244"/>
                  <w:vMerge/>
                  <w:tcBorders>
                    <w:top w:val="none" w:color="000000" w:sz="4"/>
                    <w:left w:val="single" w:color="000000" w:sz="4"/>
                    <w:bottom w:val="single" w:color="000000" w:sz="4"/>
                    <w:right w:val="single" w:color="000000" w:sz="4"/>
                  </w:tcBorders>
                </w:tcPr>
                <w:p/>
              </w:tc>
              <w:tc>
                <w:tcPr>
                  <w:tcW w:type="dxa" w:w="291"/>
                  <w:vMerge/>
                  <w:tcBorders>
                    <w:top w:val="none" w:color="000000" w:sz="4"/>
                    <w:left w:val="single" w:color="000000" w:sz="4"/>
                    <w:bottom w:val="single" w:color="000000" w:sz="4"/>
                    <w:right w:val="single" w:color="000000" w:sz="4"/>
                  </w:tcBorders>
                </w:tcP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PH：6.5 - 8.5</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PH试剂</w:t>
                  </w:r>
                </w:p>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50次）</w:t>
                  </w:r>
                </w:p>
              </w:tc>
              <w:tc>
                <w:tcPr>
                  <w:tcW w:type="dxa" w:w="240"/>
                  <w:vMerge/>
                  <w:tcBorders>
                    <w:top w:val="none" w:color="000000" w:sz="4"/>
                    <w:left w:val="single" w:color="000000" w:sz="4"/>
                    <w:bottom w:val="single" w:color="000000" w:sz="4"/>
                    <w:right w:val="single" w:color="000000" w:sz="4"/>
                  </w:tcBorders>
                </w:tcPr>
                <w:p/>
              </w:tc>
              <w:tc>
                <w:tcPr>
                  <w:tcW w:type="dxa" w:w="171"/>
                  <w:vMerge/>
                  <w:tcBorders>
                    <w:top w:val="none" w:color="000000" w:sz="4"/>
                    <w:left w:val="single" w:color="000000" w:sz="4"/>
                    <w:bottom w:val="single" w:color="000000" w:sz="4"/>
                    <w:right w:val="single" w:color="000000" w:sz="4"/>
                  </w:tcBorders>
                </w:tcPr>
                <w:p/>
              </w:tc>
            </w:tr>
            <w:tr>
              <w:tc>
                <w:tcPr>
                  <w:tcW w:type="dxa" w:w="248"/>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微生物</w:t>
                  </w:r>
                  <w:r>
                    <w:rPr>
                      <w:rFonts w:ascii="仿宋_GB2312" w:hAnsi="仿宋_GB2312" w:cs="仿宋_GB2312" w:eastAsia="仿宋_GB2312"/>
                      <w:sz w:val="22"/>
                      <w:color w:val="000000"/>
                    </w:rPr>
                    <w:t>检测</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ATP快速荧光检测仪，超净工作台</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菌落总数荧光值</w:t>
                  </w:r>
                  <w:r>
                    <w:rPr>
                      <w:rFonts w:ascii="仿宋_GB2312" w:hAnsi="仿宋_GB2312" w:cs="仿宋_GB2312" w:eastAsia="仿宋_GB2312"/>
                      <w:sz w:val="22"/>
                      <w:color w:val="000000"/>
                    </w:rPr>
                    <w:t>0-999999RLU</w:t>
                  </w:r>
                  <w:r>
                    <w:rPr>
                      <w:rFonts w:ascii="仿宋_GB2312" w:hAnsi="仿宋_GB2312" w:cs="仿宋_GB2312" w:eastAsia="仿宋_GB2312"/>
                      <w:sz w:val="22"/>
                      <w:color w:val="000000"/>
                    </w:rPr>
                    <w:t>，超净工作台</w:t>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700*480*450mm，水平送风，可变风量调节，紫外灭菌灯，304不锈钢材质</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20次水质</w:t>
                  </w:r>
                </w:p>
                <w:p>
                  <w:pPr>
                    <w:pStyle w:val="null3"/>
                    <w:jc w:val="center"/>
                  </w:pPr>
                  <w:r>
                    <w:rPr>
                      <w:rFonts w:ascii="仿宋_GB2312" w:hAnsi="仿宋_GB2312" w:cs="仿宋_GB2312" w:eastAsia="仿宋_GB2312"/>
                      <w:sz w:val="22"/>
                      <w:color w:val="000000"/>
                    </w:rPr>
                    <w:t>试子</w:t>
                  </w:r>
                </w:p>
              </w:tc>
              <w:tc>
                <w:tcPr>
                  <w:tcW w:type="dxa" w:w="240"/>
                  <w:vMerge/>
                  <w:tcBorders>
                    <w:top w:val="none" w:color="000000" w:sz="4"/>
                    <w:left w:val="single" w:color="000000" w:sz="4"/>
                    <w:bottom w:val="single" w:color="000000" w:sz="4"/>
                    <w:right w:val="single" w:color="000000" w:sz="4"/>
                  </w:tcBorders>
                </w:tcPr>
                <w:p/>
              </w:tc>
              <w:tc>
                <w:tcPr>
                  <w:tcW w:type="dxa" w:w="171"/>
                  <w:vMerge/>
                  <w:tcBorders>
                    <w:top w:val="none" w:color="000000" w:sz="4"/>
                    <w:left w:val="single" w:color="000000" w:sz="4"/>
                    <w:bottom w:val="single" w:color="000000" w:sz="4"/>
                    <w:right w:val="single" w:color="000000" w:sz="4"/>
                  </w:tcBorders>
                </w:tcPr>
                <w:p/>
              </w:tc>
            </w:tr>
            <w:tr>
              <w:tc>
                <w:tcPr>
                  <w:tcW w:type="dxa" w:w="248"/>
                  <w:vMerge/>
                  <w:tcBorders>
                    <w:top w:val="none" w:color="000000" w:sz="4"/>
                    <w:left w:val="single" w:color="000000" w:sz="4"/>
                    <w:bottom w:val="single" w:color="000000" w:sz="4"/>
                    <w:right w:val="single" w:color="000000" w:sz="4"/>
                  </w:tcBorders>
                </w:tcPr>
                <w:p/>
              </w:tc>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臭和味肉眼可见物</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烧杯</w:t>
                  </w:r>
                </w:p>
              </w:tc>
              <w:tc>
                <w:tcPr>
                  <w:tcW w:type="dxa" w:w="9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color w:val="000000"/>
                    </w:rPr>
                    <w:t>500ml玻璃烧杯</w:t>
                  </w:r>
                </w:p>
              </w:tc>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4只</w:t>
                  </w:r>
                </w:p>
              </w:tc>
              <w:tc>
                <w:tcPr>
                  <w:tcW w:type="dxa" w:w="240"/>
                  <w:vMerge/>
                  <w:tcBorders>
                    <w:top w:val="none" w:color="000000" w:sz="4"/>
                    <w:left w:val="single" w:color="000000" w:sz="4"/>
                    <w:bottom w:val="single" w:color="000000" w:sz="4"/>
                    <w:right w:val="single" w:color="000000" w:sz="4"/>
                  </w:tcBorders>
                </w:tcPr>
                <w:p/>
              </w:tc>
              <w:tc>
                <w:tcPr>
                  <w:tcW w:type="dxa" w:w="171"/>
                  <w:vMerge/>
                  <w:tcBorders>
                    <w:top w:val="none" w:color="000000" w:sz="4"/>
                    <w:left w:val="single" w:color="000000" w:sz="4"/>
                    <w:bottom w:val="single" w:color="000000" w:sz="4"/>
                    <w:right w:val="single" w:color="000000" w:sz="4"/>
                  </w:tcBorders>
                </w:tcPr>
                <w:p/>
              </w:tc>
            </w:tr>
          </w:tbl>
          <w:p>
            <w:pPr>
              <w:pStyle w:val="null3"/>
            </w:pPr>
            <w:r>
              <w:rPr>
                <w:rFonts w:ascii="仿宋_GB2312" w:hAnsi="仿宋_GB2312" w:cs="仿宋_GB2312" w:eastAsia="仿宋_GB2312"/>
                <w:sz w:val="24"/>
                <w:b/>
              </w:rPr>
              <w:t>三、配套试剂技术要求</w:t>
            </w:r>
          </w:p>
          <w:tbl>
            <w:tblPr>
              <w:tblInd w:type="dxa" w:w="90"/>
              <w:tblBorders>
                <w:top w:val="none" w:color="000000" w:sz="4"/>
                <w:left w:val="none" w:color="000000" w:sz="4"/>
                <w:bottom w:val="none" w:color="000000" w:sz="4"/>
                <w:right w:val="none" w:color="000000" w:sz="4"/>
                <w:insideH w:val="none"/>
                <w:insideV w:val="none"/>
              </w:tblBorders>
            </w:tblPr>
            <w:tblGrid>
              <w:gridCol w:w="244"/>
              <w:gridCol w:w="1880"/>
              <w:gridCol w:w="244"/>
              <w:gridCol w:w="179"/>
            </w:tblGrid>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18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参数</w:t>
                  </w:r>
                </w:p>
              </w:tc>
              <w:tc>
                <w:tcPr>
                  <w:tcW w:type="dxa" w:w="2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配套</w:t>
                  </w:r>
                  <w:r>
                    <w:rPr>
                      <w:rFonts w:ascii="仿宋_GB2312" w:hAnsi="仿宋_GB2312" w:cs="仿宋_GB2312" w:eastAsia="仿宋_GB2312"/>
                      <w:sz w:val="22"/>
                      <w:color w:val="000000"/>
                    </w:rPr>
                    <w:t>试剂</w:t>
                  </w:r>
                </w:p>
              </w:tc>
              <w:tc>
                <w:tcPr>
                  <w:tcW w:type="dxa" w:w="18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w:t>
                  </w:r>
                  <w:r>
                    <w:rPr>
                      <w:rFonts w:ascii="仿宋_GB2312" w:hAnsi="仿宋_GB2312" w:cs="仿宋_GB2312" w:eastAsia="仿宋_GB2312"/>
                      <w:sz w:val="22"/>
                      <w:color w:val="000000"/>
                    </w:rPr>
                    <w:t>游离余氯和总余氯</w:t>
                  </w:r>
                  <w:r>
                    <w:rPr>
                      <w:rFonts w:ascii="仿宋_GB2312" w:hAnsi="仿宋_GB2312" w:cs="仿宋_GB2312" w:eastAsia="仿宋_GB2312"/>
                      <w:sz w:val="22"/>
                      <w:color w:val="000000"/>
                    </w:rPr>
                    <w:t>0.01-5.00mg/L，DPD1(100次）；</w:t>
                  </w:r>
                </w:p>
                <w:p>
                  <w:pPr>
                    <w:pStyle w:val="null3"/>
                    <w:jc w:val="left"/>
                  </w:pPr>
                  <w:r>
                    <w:rPr>
                      <w:rFonts w:ascii="仿宋_GB2312" w:hAnsi="仿宋_GB2312" w:cs="仿宋_GB2312" w:eastAsia="仿宋_GB2312"/>
                      <w:sz w:val="22"/>
                      <w:color w:val="000000"/>
                    </w:rPr>
                    <w:t>2、</w:t>
                  </w:r>
                  <w:r>
                    <w:rPr>
                      <w:rFonts w:ascii="仿宋_GB2312" w:hAnsi="仿宋_GB2312" w:cs="仿宋_GB2312" w:eastAsia="仿宋_GB2312"/>
                      <w:sz w:val="22"/>
                      <w:color w:val="000000"/>
                    </w:rPr>
                    <w:t>耗氧量：</w:t>
                  </w:r>
                  <w:r>
                    <w:rPr>
                      <w:rFonts w:ascii="仿宋_GB2312" w:hAnsi="仿宋_GB2312" w:cs="仿宋_GB2312" w:eastAsia="仿宋_GB2312"/>
                      <w:sz w:val="22"/>
                      <w:color w:val="000000"/>
                    </w:rPr>
                    <w:t>0.5 - 10.00mg/L</w:t>
                  </w:r>
                  <w:r>
                    <w:rPr>
                      <w:rFonts w:ascii="仿宋_GB2312" w:hAnsi="仿宋_GB2312" w:cs="仿宋_GB2312" w:eastAsia="仿宋_GB2312"/>
                      <w:sz w:val="22"/>
                      <w:color w:val="000000"/>
                    </w:rPr>
                    <w:t>（</w:t>
                  </w:r>
                  <w:r>
                    <w:rPr>
                      <w:rFonts w:ascii="仿宋_GB2312" w:hAnsi="仿宋_GB2312" w:cs="仿宋_GB2312" w:eastAsia="仿宋_GB2312"/>
                      <w:sz w:val="22"/>
                      <w:color w:val="000000"/>
                    </w:rPr>
                    <w:t>200次）</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PH：6.5 - 8.5PH试剂（50次）；</w:t>
                  </w:r>
                </w:p>
                <w:p>
                  <w:pPr>
                    <w:pStyle w:val="null3"/>
                    <w:jc w:val="left"/>
                  </w:pPr>
                  <w:r>
                    <w:rPr>
                      <w:rFonts w:ascii="仿宋_GB2312" w:hAnsi="仿宋_GB2312" w:cs="仿宋_GB2312" w:eastAsia="仿宋_GB2312"/>
                      <w:sz w:val="22"/>
                      <w:color w:val="000000"/>
                    </w:rPr>
                    <w:t>4</w:t>
                  </w:r>
                  <w:r>
                    <w:rPr>
                      <w:rFonts w:ascii="仿宋_GB2312" w:hAnsi="仿宋_GB2312" w:cs="仿宋_GB2312" w:eastAsia="仿宋_GB2312"/>
                      <w:sz w:val="22"/>
                      <w:color w:val="000000"/>
                    </w:rPr>
                    <w:t>、菌落总数荧光值</w:t>
                  </w:r>
                  <w:r>
                    <w:rPr>
                      <w:rFonts w:ascii="仿宋_GB2312" w:hAnsi="仿宋_GB2312" w:cs="仿宋_GB2312" w:eastAsia="仿宋_GB2312"/>
                      <w:sz w:val="22"/>
                      <w:color w:val="000000"/>
                    </w:rPr>
                    <w:t>0-999999RLU，20次水质试子</w:t>
                  </w:r>
                  <w:r>
                    <w:rPr>
                      <w:rFonts w:ascii="仿宋_GB2312" w:hAnsi="仿宋_GB2312" w:cs="仿宋_GB2312" w:eastAsia="仿宋_GB2312"/>
                      <w:sz w:val="22"/>
                      <w:color w:val="000000"/>
                    </w:rPr>
                    <w:t>。</w:t>
                  </w:r>
                </w:p>
              </w:tc>
              <w:tc>
                <w:tcPr>
                  <w:tcW w:type="dxa" w:w="2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供货期限：合同签订后60日历天内安装调试完毕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终验合格后（具体付款以县财政资金拨付到位为依据）</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终验合格一年后（具体付款以县财政资金拨付到位为依据）</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验收标准：以国家标准、行业标准或合同文本供货清单中描述的有关技术要求为准。 验收方法：1、初验：货物到达交货地点后，由使用单位根据合同对货物 (设备) 的名称、品牌、规格、型号、产地、数量进行检查。2、终验：所有货物(设备)安装、调试完毕，正常使用30个日历日后，由采购人进行终验 (最终验收) ，合格后签发《终验合格单》。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不少于1年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1、投标时投标人无需提供纸质版投标文件。中标人在领取中标通知书前须提供纸质版投标文件3份、电子版（U 盘）文件3份，打印盖章后提交至采购代理公司处，以便采购人进行留存备案等工作，中标人应保持投标文件纸质版内容与电子版内容完全一致，否则将承担一切法律责任。纸质版投标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关于促进政府采购公平竞争优化营商环境的通知》（财库〔2019〕38号）；（7）《财政部 农业农村部 国家乡村振兴局关于运用政府采购政策支持乡村产业振兴的通知》（财库〔2021〕19号）；（8）陕西省财政厅《关于进一步加强政府绿色采购有关问题的通知》（陕财办采〔2021〕29号）； （9）陕西省财政厅关于印发《陕西省中小企业政府采购信用融资办法》（陕财办采〔2018〕23号）；（10）《陕西省财政厅关于加快推进我省中小企业政府采购信用融资工作的通知》（陕财办采〔2020〕15号）； （11）《政府采购促进中小企业发展管理办法》（财库〔2020〕46号）； （12）《关于进一步加大政府采购支持中小企业力度的通知》（财库〔2022〕19号）； （13）《陕西省财政厅关于进一步落实政府采购支持中小企业相关政策的通知》（陕财办采〔2023〕3号）； （14）《陕西省财政厅关于进一步优化政府采购营商环境有关事项的通知》（陕财办采〔2023〕4号）。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提供2024年度经审计的财务报告或开标前近三个月内基本开户银行开具的资信证明（成立时间至提交投标文件截止时间不足一年的可提供成立后任意时段的财务报表）。</w:t>
            </w:r>
          </w:p>
        </w:tc>
        <w:tc>
          <w:tcPr>
            <w:tcW w:type="dxa" w:w="1661"/>
          </w:tcPr>
          <w:p>
            <w:pPr>
              <w:pStyle w:val="null3"/>
            </w:pPr>
            <w:r>
              <w:rPr>
                <w:rFonts w:ascii="仿宋_GB2312" w:hAnsi="仿宋_GB2312" w:cs="仿宋_GB2312" w:eastAsia="仿宋_GB2312"/>
              </w:rPr>
              <w:t>投标人应提交的相关资格证明材料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提供2024年度经审计的财务报告或开标前近三个月内基本开户银行开具的资信证明（成立时间至提交投标文件截止时间不足一年的可提供成立后任意时段的财务报表）</w:t>
            </w:r>
          </w:p>
        </w:tc>
        <w:tc>
          <w:tcPr>
            <w:tcW w:type="dxa" w:w="3322"/>
          </w:tcPr>
          <w:p>
            <w:pPr>
              <w:pStyle w:val="null3"/>
            </w:pPr>
            <w:r>
              <w:rPr>
                <w:rFonts w:ascii="仿宋_GB2312" w:hAnsi="仿宋_GB2312" w:cs="仿宋_GB2312" w:eastAsia="仿宋_GB2312"/>
              </w:rPr>
              <w:t>提供2024年度经审计的财务报告或开标前近三个月内基本开户银行开具的资信证明（成立时间至提交投标文件截止时间不足一年的可提供成立后任意时段的财务报表）；</w:t>
            </w:r>
          </w:p>
        </w:tc>
        <w:tc>
          <w:tcPr>
            <w:tcW w:type="dxa" w:w="1661"/>
          </w:tcPr>
          <w:p>
            <w:pPr>
              <w:pStyle w:val="null3"/>
            </w:pPr>
            <w:r>
              <w:rPr>
                <w:rFonts w:ascii="仿宋_GB2312" w:hAnsi="仿宋_GB2312" w:cs="仿宋_GB2312" w:eastAsia="仿宋_GB2312"/>
              </w:rPr>
              <w:t>投标人应提交的相关资格证明材料 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提供依法缴纳税收的良好记录（提供投标截止时间前六个月内任意一个月份的缴纳凭据复印件并加盖单位公章。依法免税或开标前一年内零申报的投标人应提供相关证明文件）</w:t>
            </w:r>
          </w:p>
        </w:tc>
        <w:tc>
          <w:tcPr>
            <w:tcW w:type="dxa" w:w="3322"/>
          </w:tcPr>
          <w:p>
            <w:pPr>
              <w:pStyle w:val="null3"/>
            </w:pPr>
            <w:r>
              <w:rPr>
                <w:rFonts w:ascii="仿宋_GB2312" w:hAnsi="仿宋_GB2312" w:cs="仿宋_GB2312" w:eastAsia="仿宋_GB2312"/>
              </w:rPr>
              <w:t>提供依法缴纳税收的良好记录（提供投标截止时间前六个月内任意一个月份的缴纳凭据复印件并加盖单位公章。依法免税或开标前一年内零申报的投标人应提供相关证明文件）；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提供依法缴纳社会保障资金的良好记录（提供投标截止时间前六个月内任意一个月份的缴纳凭据复印件并加盖单位公章。依法不需要缴纳社会保障资金的投标人应提供相关证明文件）</w:t>
            </w:r>
          </w:p>
        </w:tc>
        <w:tc>
          <w:tcPr>
            <w:tcW w:type="dxa" w:w="3322"/>
          </w:tcPr>
          <w:p>
            <w:pPr>
              <w:pStyle w:val="null3"/>
            </w:pPr>
            <w:r>
              <w:rPr>
                <w:rFonts w:ascii="仿宋_GB2312" w:hAnsi="仿宋_GB2312" w:cs="仿宋_GB2312" w:eastAsia="仿宋_GB2312"/>
              </w:rPr>
              <w:t>提供依法缴纳社会保障资金的良好记录（提供投标截止时间前六个月内任意一个月份的缴纳凭据复印件并加盖单位公章。依法不需要缴纳社会保障资金的投标人应提供相关证明文件）；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开标现场查询结果为准）</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投标人；不得为“中国政府采购网”（www.ccgp.gov.cn）政府采购严重违法失信行为记录名单中被财政部门禁止参加政府采购活动的投标人。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提供投标保证金银行转账凭证及基本账户信息复印件或金融机构、担保机构出具的保函复印件，复印件均须加盖公章</w:t>
            </w:r>
          </w:p>
        </w:tc>
        <w:tc>
          <w:tcPr>
            <w:tcW w:type="dxa" w:w="3322"/>
          </w:tcPr>
          <w:p>
            <w:pPr>
              <w:pStyle w:val="null3"/>
            </w:pPr>
            <w:r>
              <w:rPr>
                <w:rFonts w:ascii="仿宋_GB2312" w:hAnsi="仿宋_GB2312" w:cs="仿宋_GB2312" w:eastAsia="仿宋_GB2312"/>
              </w:rPr>
              <w:t>提供投标保证金银行转账凭证及基本账户信息复印件或金融机构、担保机构出具的保函复印件，复印件均须加盖公章；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投标人应提交的相关资格证明材料 资格证明资料.docx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本项目专门面向中小企业采购，投标人须提供《中小企业声明函》</w:t>
            </w:r>
          </w:p>
        </w:tc>
        <w:tc>
          <w:tcPr>
            <w:tcW w:type="dxa" w:w="3322"/>
          </w:tcPr>
          <w:p>
            <w:pPr>
              <w:pStyle w:val="null3"/>
            </w:pPr>
            <w:r>
              <w:rPr>
                <w:rFonts w:ascii="仿宋_GB2312" w:hAnsi="仿宋_GB2312" w:cs="仿宋_GB2312" w:eastAsia="仿宋_GB2312"/>
              </w:rPr>
              <w:t>本项目专门面向中小企业采购，投标人须提供《中小企业声明函》；</w:t>
            </w:r>
          </w:p>
        </w:tc>
        <w:tc>
          <w:tcPr>
            <w:tcW w:type="dxa" w:w="1661"/>
          </w:tcPr>
          <w:p>
            <w:pPr>
              <w:pStyle w:val="null3"/>
            </w:pPr>
            <w:r>
              <w:rPr>
                <w:rFonts w:ascii="仿宋_GB2312" w:hAnsi="仿宋_GB2312" w:cs="仿宋_GB2312" w:eastAsia="仿宋_GB2312"/>
              </w:rPr>
              <w:t>中小企业声明函 资格证明资料.docx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投标人为生产厂家的须具备有效的消毒产品生产企业卫生许可证、涉水产品卫生许可批件；投标人为代理经销商的，须提供生产厂家的消毒产品生产企业卫生许可证、涉水产品卫生许可批件</w:t>
            </w:r>
          </w:p>
        </w:tc>
        <w:tc>
          <w:tcPr>
            <w:tcW w:type="dxa" w:w="3322"/>
          </w:tcPr>
          <w:p>
            <w:pPr>
              <w:pStyle w:val="null3"/>
            </w:pPr>
            <w:r>
              <w:rPr>
                <w:rFonts w:ascii="仿宋_GB2312" w:hAnsi="仿宋_GB2312" w:cs="仿宋_GB2312" w:eastAsia="仿宋_GB2312"/>
              </w:rPr>
              <w:t>投标人为生产厂家的须具备有效的消毒产品生产企业卫生许可证、涉水产品卫生许可批件；投标人为代理经销商的，须提供生产厂家的消毒产品生产企业卫生许可证、涉水产品卫生许可批件。</w:t>
            </w:r>
          </w:p>
        </w:tc>
        <w:tc>
          <w:tcPr>
            <w:tcW w:type="dxa" w:w="1661"/>
          </w:tcPr>
          <w:p>
            <w:pPr>
              <w:pStyle w:val="null3"/>
            </w:pPr>
            <w:r>
              <w:rPr>
                <w:rFonts w:ascii="仿宋_GB2312" w:hAnsi="仿宋_GB2312" w:cs="仿宋_GB2312" w:eastAsia="仿宋_GB2312"/>
              </w:rPr>
              <w:t>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业绩.docx 质量保证方案.docx 中小企业声明函 项目实施方案.docx 其他相关资料.docx 商务响应表.docx 投标人应提交的相关资格证明材料 资格证明资料.docx 分项报价表.docx 投标函 残疾人福利性单位声明函 技术响应偏离表.docx 标的清单 投标文件封面 来源渠道.docx 售后及培训服务方案.docx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1、报价唯一，且不能高于最高限价。 2、投标人的报价明显低于其他通过符合性审查投标人的报价时，按照财政部87号令第六十条的相关规定进行处理。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投标文件的签署、加盖印章是否合格、有效。</w:t>
            </w:r>
          </w:p>
        </w:tc>
        <w:tc>
          <w:tcPr>
            <w:tcW w:type="dxa" w:w="1661"/>
          </w:tcPr>
          <w:p>
            <w:pPr>
              <w:pStyle w:val="null3"/>
            </w:pPr>
            <w:r>
              <w:rPr>
                <w:rFonts w:ascii="仿宋_GB2312" w:hAnsi="仿宋_GB2312" w:cs="仿宋_GB2312" w:eastAsia="仿宋_GB2312"/>
              </w:rPr>
              <w:t>开标一览表 业绩.docx 质量保证方案.docx 中小企业声明函 项目实施方案.docx 其他相关资料.docx 商务响应表.docx 投标人应提交的相关资格证明材料 资格证明资料.docx 分项报价表.docx 投标函 残疾人福利性单位声明函 技术响应偏离表.docx 标的清单 投标文件封面 来源渠道.docx 售后及培训服务方案.docx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供货期限</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投标函 商务响应表.docx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保修期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核心产品技术参数</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开标一览表 分项报价表.docx 技术响应偏离表.docx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开标一览表 业绩.docx 质量保证方案.docx 中小企业声明函 项目实施方案.docx 其他相关资料.docx 商务响应表.docx 投标人应提交的相关资格证明材料 资格证明资料.docx 分项报价表.docx 投标函 残疾人福利性单位声明函 技术响应偏离表.docx 标的清单 投标文件封面 来源渠道.docx 售后及培训服务方案.docx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所投产品技术参数清楚、明确并能逐条响应招标文件第三章“3.3技术服务”中所有参数要求，得12分。除核心产品外，每负偏离一项扣1分，扣完为止。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技术响应偏离表.docx</w:t>
            </w:r>
          </w:p>
        </w:tc>
      </w:tr>
      <w:tr>
        <w:tc>
          <w:tcPr>
            <w:tcW w:type="dxa" w:w="831"/>
            <w:vMerge/>
          </w:tcPr>
          <w:p/>
        </w:tc>
        <w:tc>
          <w:tcPr>
            <w:tcW w:type="dxa" w:w="1661"/>
          </w:tcPr>
          <w:p>
            <w:pPr>
              <w:pStyle w:val="null3"/>
            </w:pPr>
            <w:r>
              <w:rPr>
                <w:rFonts w:ascii="仿宋_GB2312" w:hAnsi="仿宋_GB2312" w:cs="仿宋_GB2312" w:eastAsia="仿宋_GB2312"/>
              </w:rPr>
              <w:t>优于参数响应</w:t>
            </w:r>
          </w:p>
        </w:tc>
        <w:tc>
          <w:tcPr>
            <w:tcW w:type="dxa" w:w="2492"/>
          </w:tcPr>
          <w:p>
            <w:pPr>
              <w:pStyle w:val="null3"/>
            </w:pPr>
            <w:r>
              <w:rPr>
                <w:rFonts w:ascii="仿宋_GB2312" w:hAnsi="仿宋_GB2312" w:cs="仿宋_GB2312" w:eastAsia="仿宋_GB2312"/>
              </w:rPr>
              <w:t>技术要求中，参数优于招标文件要求，具有实际使用价值的提升，经评标委员会一致认定每项可加1分，满分5分。 备注：所有优于参数须有佐证材料，否则不予加分（佐证材料例如：国家认可的检测机构出具的检测报告、制造商检验报告、产品彩页、官网功能截图任意一种）。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针对本项目提供完整详细的项目实施方案。内容包含：①项目总实施计划②备货、供货进度及保证措施③仪器校验方案④人员配备⑤安装、调试及验收方案⑥应急处理方案。 二、评审标准 1、完整性：方案须全面，对评审内容中的各项要求有详细描述； 2、可实施性：切合本项目实际情况，实施步骤清晰、合理； 3、针对性：方案能够紧扣项目实际情况，内容科学合理。 三、赋分依据 ①项目总实施计划：每完全满足一个评审标准得1分，满分3分； ②备货、供货进度及保证措施：每完全满足一个评审标准得1分，满分3分； ③仪器校验方案：每完全满足一个评审标准得1分，满分3分； ④人员配备：每完全满足一个评审标准得1分，满分3分； ⑤安装、调试及验收方案：每完全满足一个评审标准得1 分，满分3分； ⑥应急处理方案：每完全满足一个评审标准得1 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根据项目实际需求，提供质量保证方案。内容包含：①质量保证措施②所投产品制造厂家有可靠、完善的管理制度。 二、评审标准 1、完整性：方案须全面，对评审内容中的各项要求有详细描述； 2、可实施性：切合本项目实际情况，实施步骤清晰、合理； 3、针对性：方案能够紧扣项目实际情况，内容科学合理。 三、赋分依据 ①质量保证措施：每完全满足一个评审标准得1分，满分3分； ②所投产品制造厂家有可靠、完善的管理制度：每完全满足一个评审标准得1分，满分3分。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产品的合法来源渠道证明文件或情况说明，得4分，不提供不得分。投标人可根据自身情况提供以下资料：1、如投标人为所投产品经销商：提供货物的合法来源渠道证明文件（例如：产品制造商授权、销售协议、代理协议等证明文件）。 2、如投标人为所投产品的制造商：需提供情况说明（说明产品为制造商自己生产）。备注：以加盖投标人公章的证明材料复印件为计分依据。</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来源渠道.docx</w:t>
            </w:r>
          </w:p>
        </w:tc>
      </w:tr>
      <w:tr>
        <w:tc>
          <w:tcPr>
            <w:tcW w:type="dxa" w:w="831"/>
            <w:vMerge/>
          </w:tcPr>
          <w:p/>
        </w:tc>
        <w:tc>
          <w:tcPr>
            <w:tcW w:type="dxa" w:w="1661"/>
          </w:tcPr>
          <w:p>
            <w:pPr>
              <w:pStyle w:val="null3"/>
            </w:pPr>
            <w:r>
              <w:rPr>
                <w:rFonts w:ascii="仿宋_GB2312" w:hAnsi="仿宋_GB2312" w:cs="仿宋_GB2312" w:eastAsia="仿宋_GB2312"/>
              </w:rPr>
              <w:t>售后及培训服务方案</w:t>
            </w:r>
          </w:p>
        </w:tc>
        <w:tc>
          <w:tcPr>
            <w:tcW w:type="dxa" w:w="2492"/>
          </w:tcPr>
          <w:p>
            <w:pPr>
              <w:pStyle w:val="null3"/>
            </w:pPr>
            <w:r>
              <w:rPr>
                <w:rFonts w:ascii="仿宋_GB2312" w:hAnsi="仿宋_GB2312" w:cs="仿宋_GB2312" w:eastAsia="仿宋_GB2312"/>
              </w:rPr>
              <w:t>一、评审内容 根据项目实际需求提供售后及培训服务方案。内容包含：①售后服务方案、售后服务保障措施②健全的售后服务机构、配备专职售后人员③故障处理及补救措施④售后服务承诺⑤培训方案。 二、评审标准 1、完整性：方案须全面，对评审内容中的各项要求有详细描述； 2、可实施性：切合本项目实际情况，提出步骤清晰、合理的方案； 3、针对性：方案能够紧扣项目实际情况，内容科学合理。 三、赋分依据 ①售后服务方案、售后服务保障措施：每完全满足一个评审标准得1分，满分3分； ②健全的售后服务机构、配备专职售后人员：每完全满足一个评审标准得1分，满分3分； ③故障处理及补救措施：每完全满足一个评审标准得1分，满分3分； ④售后服务承诺：每完全满足一个评审标准得1分，满分3分； ⑤培训方案：每完全满足一个评审标准得1分，满分3分。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售后及培训服务方案.docx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投标文件对供货期限、保修期等商务要求，每有一项优于招标文件要求的加1分，最高加2分。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提供2022年6月1日至今类似项目的合同或中标（成交）通知书（以所提供资料的落款时间为准），每提供一份业绩计2分，最高8分。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详见附件：质量保证方案.docx</w:t>
      </w:r>
    </w:p>
    <w:p>
      <w:pPr>
        <w:pStyle w:val="null3"/>
        <w:ind w:firstLine="960"/>
      </w:pPr>
      <w:r>
        <w:rPr>
          <w:rFonts w:ascii="仿宋_GB2312" w:hAnsi="仿宋_GB2312" w:cs="仿宋_GB2312" w:eastAsia="仿宋_GB2312"/>
        </w:rPr>
        <w:t>详见附件：来源渠道.docx</w:t>
      </w:r>
    </w:p>
    <w:p>
      <w:pPr>
        <w:pStyle w:val="null3"/>
        <w:ind w:firstLine="960"/>
      </w:pPr>
      <w:r>
        <w:rPr>
          <w:rFonts w:ascii="仿宋_GB2312" w:hAnsi="仿宋_GB2312" w:cs="仿宋_GB2312" w:eastAsia="仿宋_GB2312"/>
        </w:rPr>
        <w:t>详见附件：售后及培训服务方案.docx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