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版本号：SXYD25-ZFCG-092620251013001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2025年富平县粮油作物绿色高产高效项目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SXYD25-ZFCG-0926</w:t>
      </w:r>
      <w:r>
        <w:br/>
      </w:r>
      <w:r>
        <w:br/>
      </w:r>
      <w:r>
        <w:br/>
      </w:r>
    </w:p>
    <w:p>
      <w:pPr>
        <w:pStyle w:val="null3"/>
        <w:jc w:val="center"/>
        <w:outlineLvl w:val="2"/>
      </w:pPr>
      <w:r>
        <w:rPr>
          <w:rFonts w:ascii="仿宋_GB2312" w:hAnsi="仿宋_GB2312" w:cs="仿宋_GB2312" w:eastAsia="仿宋_GB2312"/>
          <w:sz w:val="28"/>
          <w:b/>
        </w:rPr>
        <w:t>富平县农业技术推广中心</w:t>
      </w:r>
    </w:p>
    <w:p>
      <w:pPr>
        <w:pStyle w:val="null3"/>
        <w:jc w:val="center"/>
        <w:outlineLvl w:val="2"/>
      </w:pPr>
      <w:r>
        <w:rPr>
          <w:rFonts w:ascii="仿宋_GB2312" w:hAnsi="仿宋_GB2312" w:cs="仿宋_GB2312" w:eastAsia="仿宋_GB2312"/>
          <w:sz w:val="28"/>
          <w:b/>
        </w:rPr>
        <w:t>陕西远大发展项目管理有限公司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陕西远大发展项目管理有限公司</w:t>
      </w:r>
      <w:r>
        <w:rPr>
          <w:rFonts w:ascii="仿宋_GB2312" w:hAnsi="仿宋_GB2312" w:cs="仿宋_GB2312" w:eastAsia="仿宋_GB2312"/>
        </w:rPr>
        <w:t>（以下简称“代理机构”）受</w:t>
      </w:r>
      <w:r>
        <w:rPr>
          <w:rFonts w:ascii="仿宋_GB2312" w:hAnsi="仿宋_GB2312" w:cs="仿宋_GB2312" w:eastAsia="仿宋_GB2312"/>
        </w:rPr>
        <w:t>富平县农业技术推广中心</w:t>
      </w:r>
      <w:r>
        <w:rPr>
          <w:rFonts w:ascii="仿宋_GB2312" w:hAnsi="仿宋_GB2312" w:cs="仿宋_GB2312" w:eastAsia="仿宋_GB2312"/>
        </w:rPr>
        <w:t>委托，拟对</w:t>
      </w:r>
      <w:r>
        <w:rPr>
          <w:rFonts w:ascii="仿宋_GB2312" w:hAnsi="仿宋_GB2312" w:cs="仿宋_GB2312" w:eastAsia="仿宋_GB2312"/>
        </w:rPr>
        <w:t>2025年富平县粮油作物绿色高产高效项目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SXYD25-ZFCG-0926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2025年富平县粮油作物绿色高产高效项目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本项目采购：1、大量元素水溶肥132000kg；2、叶面喷施水溶肥10200kg。</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采购包1（2025年富平县粮油作物绿色高产高效项目）：属于专门面向中小企业采购。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2、法定代表人身份证明书及授权委托书：提供法定代表人授权委托书（附法定代表人、被授权人身份证复印件）；法定代表人参加投标只须提供法定代表人身份证明（附法定代表人身份证复印件）；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3、财务状况：供应商须提供2024年度经会计师事务所审计的审计报告（新成立企业可从成立当年开始提供相对应的财务报表）或其基本存款账户开户银行出具的资信证明；</w:t>
      </w:r>
    </w:p>
    <w:p>
      <w:pPr>
        <w:pStyle w:val="null3"/>
      </w:pPr>
      <w:r>
        <w:rPr>
          <w:rFonts w:ascii="仿宋_GB2312" w:hAnsi="仿宋_GB2312" w:cs="仿宋_GB2312" w:eastAsia="仿宋_GB2312"/>
        </w:rPr>
        <w:t>4、税收缴纳凭证：供应商须提供投标截止时间前六个月内任意一个月的税收缴纳凭证（注：依法免税或零申报的供应商应提供相关文件证明；若为新成立企业须提供相应月度的缴税证明）；</w:t>
      </w:r>
    </w:p>
    <w:p>
      <w:pPr>
        <w:pStyle w:val="null3"/>
      </w:pPr>
      <w:r>
        <w:rPr>
          <w:rFonts w:ascii="仿宋_GB2312" w:hAnsi="仿宋_GB2312" w:cs="仿宋_GB2312" w:eastAsia="仿宋_GB2312"/>
        </w:rPr>
        <w:t>5、社会保险缴纳凭证：供应商须提供投标截止时间前六个月内任意一个月的社会保险缴纳凭证（注：依法不需要缴纳社会保障资金的供应商应提供相关文件证明；若为新成立企业可提供相应月度的社会保险缴纳证明）；</w:t>
      </w:r>
    </w:p>
    <w:p>
      <w:pPr>
        <w:pStyle w:val="null3"/>
      </w:pPr>
      <w:r>
        <w:rPr>
          <w:rFonts w:ascii="仿宋_GB2312" w:hAnsi="仿宋_GB2312" w:cs="仿宋_GB2312" w:eastAsia="仿宋_GB2312"/>
        </w:rPr>
        <w:t>6、企业肥料资质要求：供应商为生产制造厂商的须提供所投产品农业部门批准核发的《肥料登记证》或备案查询截图加盖制造商公章；供应商为代理经销商须提供生产制造厂商农业部门批准核发《肥料登记证》或备案查询截图复印件加盖生产制造厂商单位公章；</w:t>
      </w:r>
    </w:p>
    <w:p>
      <w:pPr>
        <w:pStyle w:val="null3"/>
      </w:pPr>
      <w:r>
        <w:rPr>
          <w:rFonts w:ascii="仿宋_GB2312" w:hAnsi="仿宋_GB2312" w:cs="仿宋_GB2312" w:eastAsia="仿宋_GB2312"/>
        </w:rPr>
        <w:t>7、具有履行合同所必需的设备和专业技术能力的声明：供应商须提供具有履行合同所必需的设备和专业技术能力的说明及承诺书（加盖供应商公章）；</w:t>
      </w:r>
    </w:p>
    <w:p>
      <w:pPr>
        <w:pStyle w:val="null3"/>
      </w:pPr>
      <w:r>
        <w:rPr>
          <w:rFonts w:ascii="仿宋_GB2312" w:hAnsi="仿宋_GB2312" w:cs="仿宋_GB2312" w:eastAsia="仿宋_GB2312"/>
        </w:rPr>
        <w:t>8、参加本次投标前3年内，在经营活动中没有重大违法记录的书面声明：提供在参加本次投标前3年内，在经营活动中没有重大违法记录的书面声明</w:t>
      </w:r>
    </w:p>
    <w:p>
      <w:pPr>
        <w:pStyle w:val="null3"/>
      </w:pPr>
      <w:r>
        <w:rPr>
          <w:rFonts w:ascii="仿宋_GB2312" w:hAnsi="仿宋_GB2312" w:cs="仿宋_GB2312" w:eastAsia="仿宋_GB2312"/>
        </w:rPr>
        <w:t>9、信用中国及中国政府采购网查询：投标人不得为“中国信息执行公开网”网站（http://zxgk.court.gov.cn/）中失信被执行人和“信用中国”网站（www.creditchina.gov.cn）重大税收违法失信主体，未被列入“中国政府采购网”（http://www.ccgp.gov.cn/search/cr/）政府采购严重违法失信行为记录名单；</w:t>
      </w:r>
    </w:p>
    <w:p>
      <w:pPr>
        <w:pStyle w:val="null3"/>
      </w:pPr>
      <w:r>
        <w:rPr>
          <w:rFonts w:ascii="仿宋_GB2312" w:hAnsi="仿宋_GB2312" w:cs="仿宋_GB2312" w:eastAsia="仿宋_GB2312"/>
        </w:rPr>
        <w:t>10、投标保证金：提供投标保证金转账凭证和基本存款账户信息证明资料复印件并加盖单位公章或金融机构、担保机构出具的保函复印件，复印件均须加盖公章；</w:t>
      </w:r>
    </w:p>
    <w:p>
      <w:pPr>
        <w:pStyle w:val="null3"/>
      </w:pPr>
      <w:r>
        <w:rPr>
          <w:rFonts w:ascii="仿宋_GB2312" w:hAnsi="仿宋_GB2312" w:cs="仿宋_GB2312" w:eastAsia="仿宋_GB2312"/>
        </w:rPr>
        <w:t>11、关联关系承诺书：单位负责人为同一人或者存在直接控股、管理关系的不同供应商，不得参加同一合同项下的投标活动的承诺书</w:t>
      </w:r>
    </w:p>
    <w:p>
      <w:pPr>
        <w:pStyle w:val="null3"/>
      </w:pPr>
      <w:r>
        <w:rPr>
          <w:rFonts w:ascii="仿宋_GB2312" w:hAnsi="仿宋_GB2312" w:cs="仿宋_GB2312" w:eastAsia="仿宋_GB2312"/>
        </w:rPr>
        <w:t>12、中小企业声明函：本项目专门面向中小企业采购，仅限符合《政府采购促进中小企业发展管理办法》（财库〔2020〕46号）条件的企业参与，供应商应填写中小企业声明函并对真实性负责（残疾人福利 性单位及监狱企业视同为小型、微型企业）；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富平县杜村东街2号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朱小辉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0913-8203048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陕西远大发展项目管理有限公司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陕西省西咸新区沣西新城西部云谷B1楼二层201室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15399130672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开户名称：陕西远大发展项目管理有限公司富平县分公司</w:t>
            </w:r>
          </w:p>
          <w:p>
            <w:pPr>
              <w:pStyle w:val="null3"/>
            </w:pPr>
            <w:r>
              <w:rPr>
                <w:rFonts w:ascii="仿宋_GB2312" w:hAnsi="仿宋_GB2312" w:cs="仿宋_GB2312" w:eastAsia="仿宋_GB2312"/>
              </w:rPr>
              <w:t>开户银行：中国农业银行股份有限公司富平县东街支行</w:t>
            </w:r>
          </w:p>
          <w:p>
            <w:pPr>
              <w:pStyle w:val="null3"/>
            </w:pPr>
            <w:r>
              <w:rPr>
                <w:rFonts w:ascii="仿宋_GB2312" w:hAnsi="仿宋_GB2312" w:cs="仿宋_GB2312" w:eastAsia="仿宋_GB2312"/>
              </w:rPr>
              <w:t>银行账号：26556001040002277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代理服务费收费标准：招标代理费参照《国家计委关于印发&lt;招标代理服务收费管理暂行办法&gt;的通知》（计价格【2002】1980号）和发改办价格【2003】 857号以及发改价格【2011】534号文中规定的标准执行计取，招标代理费向成交供应商收取。具体金额详见采购结果公告，在领取中标通知书时向采购代理机构一次付清。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富平县农业技术推广中心</w:t>
      </w:r>
      <w:r>
        <w:rPr>
          <w:rFonts w:ascii="仿宋_GB2312" w:hAnsi="仿宋_GB2312" w:cs="仿宋_GB2312" w:eastAsia="仿宋_GB2312"/>
        </w:rPr>
        <w:t>和</w:t>
      </w:r>
      <w:r>
        <w:rPr>
          <w:rFonts w:ascii="仿宋_GB2312" w:hAnsi="仿宋_GB2312" w:cs="仿宋_GB2312" w:eastAsia="仿宋_GB2312"/>
        </w:rPr>
        <w:t>陕西远大发展项目管理有限公司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富平县农业技术推广中心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陕西远大发展项目管理有限公司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陕西远大发展项目管理有限公司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（1）所投产品须符合国家标准、行业标准或者其他标准、并满足采购人采购需求。（2）所有产品质量必须符合国家有关规范和相关政策。质量优良、渠道正当 , 配置合理。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联系电话：15399130672</w:t>
      </w:r>
    </w:p>
    <w:p>
      <w:pPr>
        <w:pStyle w:val="null3"/>
      </w:pPr>
      <w:r>
        <w:rPr>
          <w:rFonts w:ascii="仿宋_GB2312" w:hAnsi="仿宋_GB2312" w:cs="仿宋_GB2312" w:eastAsia="仿宋_GB2312"/>
        </w:rPr>
        <w:t>地址：陕西省西咸新区沣西新城西部云谷B1楼二层201室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本项目采购：1、大量元素水溶肥132000kg；2、叶面喷施水溶肥10200kg。</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2025年富平县粮油作物绿色高产高效项目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标的名称：2025年富平县粮油作物绿色高产高效项目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color w:val="000000"/>
              </w:rPr>
              <w:t>采购内容及要求</w:t>
            </w:r>
          </w:p>
          <w:p>
            <w:pPr>
              <w:pStyle w:val="null3"/>
              <w:ind w:firstLine="420"/>
              <w:jc w:val="left"/>
            </w:pPr>
            <w:r>
              <w:rPr>
                <w:rFonts w:ascii="仿宋_GB2312" w:hAnsi="仿宋_GB2312" w:cs="仿宋_GB2312" w:eastAsia="仿宋_GB2312"/>
                <w:sz w:val="21"/>
                <w:color w:val="000000"/>
              </w:rPr>
              <w:t>1、项目名称：2025年富平县粮油作物绿色高产高效项目</w:t>
            </w:r>
          </w:p>
          <w:p>
            <w:pPr>
              <w:pStyle w:val="null3"/>
              <w:ind w:firstLine="420"/>
              <w:jc w:val="left"/>
            </w:pPr>
            <w:r>
              <w:rPr>
                <w:rFonts w:ascii="仿宋_GB2312" w:hAnsi="仿宋_GB2312" w:cs="仿宋_GB2312" w:eastAsia="仿宋_GB2312"/>
                <w:sz w:val="21"/>
                <w:color w:val="000000"/>
              </w:rPr>
              <w:t>2、采购内容：（1）大量元素水溶肥总用量132000kg；（2）叶面喷施水溶肥总用量10200kg。</w:t>
            </w:r>
          </w:p>
          <w:p>
            <w:pPr>
              <w:pStyle w:val="null3"/>
              <w:ind w:firstLine="420"/>
              <w:jc w:val="left"/>
            </w:pPr>
            <w:r>
              <w:rPr>
                <w:rFonts w:ascii="仿宋_GB2312" w:hAnsi="仿宋_GB2312" w:cs="仿宋_GB2312" w:eastAsia="仿宋_GB2312"/>
                <w:sz w:val="21"/>
                <w:color w:val="000000"/>
              </w:rPr>
              <w:t>3、技术要求：</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318"/>
              <w:gridCol w:w="462"/>
              <w:gridCol w:w="1480"/>
            </w:tblGrid>
            <w:tr>
              <w:tc>
                <w:tcPr>
                  <w:tcW w:type="dxa" w:w="60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类目</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质量指标参数</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大量元素水溶肥</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高氮</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132000kg</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3kg/袋）</w:t>
                  </w:r>
                </w:p>
              </w:tc>
              <w:tc>
                <w:tcPr>
                  <w:tcW w:type="dxa" w:w="1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执行标准为</w:t>
                  </w:r>
                  <w:r>
                    <w:rPr>
                      <w:rFonts w:ascii="仿宋_GB2312" w:hAnsi="仿宋_GB2312" w:cs="仿宋_GB2312" w:eastAsia="仿宋_GB2312"/>
                      <w:sz w:val="24"/>
                      <w:color w:val="000000"/>
                    </w:rPr>
                    <w:t>NY/T1107-2020；</w:t>
                  </w:r>
                </w:p>
                <w:p>
                  <w:pPr>
                    <w:pStyle w:val="null3"/>
                    <w:jc w:val="both"/>
                  </w:pPr>
                  <w:r>
                    <w:rPr>
                      <w:rFonts w:ascii="仿宋_GB2312" w:hAnsi="仿宋_GB2312" w:cs="仿宋_GB2312" w:eastAsia="仿宋_GB2312"/>
                      <w:sz w:val="24"/>
                      <w:color w:val="000000"/>
                    </w:rPr>
                    <w:t>总含量</w:t>
                  </w:r>
                  <w:r>
                    <w:rPr>
                      <w:rFonts w:ascii="仿宋_GB2312" w:hAnsi="仿宋_GB2312" w:cs="仿宋_GB2312" w:eastAsia="仿宋_GB2312"/>
                      <w:sz w:val="24"/>
                      <w:color w:val="000000"/>
                    </w:rPr>
                    <w:t>N+P</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vertAlign w:val="subscript"/>
                    </w:rPr>
                    <w:t>5</w:t>
                  </w:r>
                  <w:r>
                    <w:rPr>
                      <w:rFonts w:ascii="仿宋_GB2312" w:hAnsi="仿宋_GB2312" w:cs="仿宋_GB2312" w:eastAsia="仿宋_GB2312"/>
                      <w:sz w:val="24"/>
                      <w:color w:val="000000"/>
                    </w:rPr>
                    <w:t>+K</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0≥50%，水不溶物≤1%，水分≤3%。</w:t>
                  </w:r>
                </w:p>
              </w:tc>
            </w:tr>
            <w:tr>
              <w:tc>
                <w:tcPr>
                  <w:tcW w:type="dxa" w:w="6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含硅水溶肥</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10200kg</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100ml/瓶）</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执行标准为</w:t>
                  </w:r>
                  <w:r>
                    <w:rPr>
                      <w:rFonts w:ascii="仿宋_GB2312" w:hAnsi="仿宋_GB2312" w:cs="仿宋_GB2312" w:eastAsia="仿宋_GB2312"/>
                      <w:sz w:val="24"/>
                      <w:color w:val="000000"/>
                    </w:rPr>
                    <w:t>NY/T3829-2021；</w:t>
                  </w:r>
                </w:p>
                <w:p>
                  <w:pPr>
                    <w:pStyle w:val="null3"/>
                    <w:jc w:val="both"/>
                  </w:pPr>
                  <w:r>
                    <w:rPr>
                      <w:rFonts w:ascii="仿宋_GB2312" w:hAnsi="仿宋_GB2312" w:cs="仿宋_GB2312" w:eastAsia="仿宋_GB2312"/>
                      <w:sz w:val="24"/>
                      <w:color w:val="000000"/>
                    </w:rPr>
                    <w:t>硅元素含量（</w:t>
                  </w:r>
                  <w:r>
                    <w:rPr>
                      <w:rFonts w:ascii="仿宋_GB2312" w:hAnsi="仿宋_GB2312" w:cs="仿宋_GB2312" w:eastAsia="仿宋_GB2312"/>
                      <w:sz w:val="24"/>
                      <w:color w:val="000000"/>
                    </w:rPr>
                    <w:t>Si）≥100g/L,钠元素含量（Na）＜100g/L，水不溶物≤10g/L，pH（1:250倍稀释）为5.5-11.5，登记作物为玉米。</w:t>
                  </w:r>
                </w:p>
              </w:tc>
            </w:tr>
          </w:tbl>
          <w:p>
            <w:pPr>
              <w:pStyle w:val="null3"/>
              <w:ind w:firstLine="420"/>
              <w:jc w:val="left"/>
            </w:pPr>
            <w:r>
              <w:rPr>
                <w:rFonts w:ascii="仿宋_GB2312" w:hAnsi="仿宋_GB2312" w:cs="仿宋_GB2312" w:eastAsia="仿宋_GB2312"/>
                <w:sz w:val="21"/>
                <w:color w:val="000000"/>
              </w:rPr>
              <w:t>4、商务要求：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2"/>
                <w:color w:val="000000"/>
              </w:rPr>
              <w:t>交货期：</w:t>
            </w:r>
            <w:r>
              <w:rPr>
                <w:rFonts w:ascii="仿宋_GB2312" w:hAnsi="仿宋_GB2312" w:cs="仿宋_GB2312" w:eastAsia="仿宋_GB2312"/>
                <w:sz w:val="22"/>
                <w:color w:val="000000"/>
              </w:rPr>
              <w:t>在合同签订之日</w:t>
            </w:r>
            <w:r>
              <w:rPr>
                <w:rFonts w:ascii="仿宋_GB2312" w:hAnsi="仿宋_GB2312" w:cs="仿宋_GB2312" w:eastAsia="仿宋_GB2312"/>
                <w:sz w:val="22"/>
                <w:color w:val="000000"/>
              </w:rPr>
              <w:t>起</w:t>
            </w:r>
            <w:r>
              <w:rPr>
                <w:rFonts w:ascii="仿宋_GB2312" w:hAnsi="仿宋_GB2312" w:cs="仿宋_GB2312" w:eastAsia="仿宋_GB2312"/>
                <w:sz w:val="22"/>
                <w:color w:val="000000"/>
              </w:rPr>
              <w:t>7日历天</w:t>
            </w:r>
            <w:r>
              <w:rPr>
                <w:rFonts w:ascii="仿宋_GB2312" w:hAnsi="仿宋_GB2312" w:cs="仿宋_GB2312" w:eastAsia="仿宋_GB2312"/>
                <w:sz w:val="22"/>
                <w:color w:val="000000"/>
              </w:rPr>
              <w:t>内完成供货</w:t>
            </w:r>
            <w:r>
              <w:rPr>
                <w:rFonts w:ascii="仿宋_GB2312" w:hAnsi="仿宋_GB2312" w:cs="仿宋_GB2312" w:eastAsia="仿宋_GB2312"/>
                <w:sz w:val="22"/>
                <w:color w:val="000000"/>
              </w:rPr>
              <w:t>。</w:t>
            </w:r>
          </w:p>
          <w:p>
            <w:pPr>
              <w:pStyle w:val="null3"/>
              <w:ind w:firstLine="42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付款方式：</w:t>
            </w:r>
            <w:r>
              <w:rPr>
                <w:rFonts w:ascii="仿宋_GB2312" w:hAnsi="仿宋_GB2312" w:cs="仿宋_GB2312" w:eastAsia="仿宋_GB2312"/>
                <w:sz w:val="22"/>
                <w:color w:val="000000"/>
              </w:rPr>
              <w:t>以</w:t>
            </w:r>
            <w:r>
              <w:rPr>
                <w:rFonts w:ascii="仿宋_GB2312" w:hAnsi="仿宋_GB2312" w:cs="仿宋_GB2312" w:eastAsia="仿宋_GB2312"/>
                <w:sz w:val="22"/>
                <w:color w:val="000000"/>
              </w:rPr>
              <w:t>银行转账</w:t>
            </w:r>
            <w:r>
              <w:rPr>
                <w:rFonts w:ascii="仿宋_GB2312" w:hAnsi="仿宋_GB2312" w:cs="仿宋_GB2312" w:eastAsia="仿宋_GB2312"/>
                <w:sz w:val="22"/>
                <w:color w:val="000000"/>
              </w:rPr>
              <w:t>方式结算。</w:t>
            </w:r>
            <w:r>
              <w:rPr>
                <w:rFonts w:ascii="仿宋_GB2312" w:hAnsi="仿宋_GB2312" w:cs="仿宋_GB2312" w:eastAsia="仿宋_GB2312"/>
                <w:sz w:val="22"/>
                <w:color w:val="000000"/>
              </w:rPr>
              <w:t>所有产品供货完成</w:t>
            </w:r>
            <w:r>
              <w:rPr>
                <w:rFonts w:ascii="仿宋_GB2312" w:hAnsi="仿宋_GB2312" w:cs="仿宋_GB2312" w:eastAsia="仿宋_GB2312"/>
                <w:sz w:val="22"/>
                <w:color w:val="000000"/>
              </w:rPr>
              <w:t>，</w:t>
            </w:r>
            <w:r>
              <w:rPr>
                <w:rFonts w:ascii="仿宋_GB2312" w:hAnsi="仿宋_GB2312" w:cs="仿宋_GB2312" w:eastAsia="仿宋_GB2312"/>
                <w:sz w:val="22"/>
                <w:color w:val="000000"/>
              </w:rPr>
              <w:t>中标方</w:t>
            </w:r>
            <w:r>
              <w:rPr>
                <w:rFonts w:ascii="仿宋_GB2312" w:hAnsi="仿宋_GB2312" w:cs="仿宋_GB2312" w:eastAsia="仿宋_GB2312"/>
                <w:sz w:val="22"/>
                <w:color w:val="000000"/>
              </w:rPr>
              <w:t>需开具合法合规的有效发票给</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，待财政资金到位后</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一次性向</w:t>
            </w:r>
            <w:r>
              <w:rPr>
                <w:rFonts w:ascii="仿宋_GB2312" w:hAnsi="仿宋_GB2312" w:cs="仿宋_GB2312" w:eastAsia="仿宋_GB2312"/>
                <w:sz w:val="22"/>
                <w:color w:val="000000"/>
              </w:rPr>
              <w:t>中标方</w:t>
            </w:r>
            <w:r>
              <w:rPr>
                <w:rFonts w:ascii="仿宋_GB2312" w:hAnsi="仿宋_GB2312" w:cs="仿宋_GB2312" w:eastAsia="仿宋_GB2312"/>
                <w:sz w:val="22"/>
                <w:color w:val="000000"/>
              </w:rPr>
              <w:t>付清合同款项</w:t>
            </w:r>
            <w:r>
              <w:rPr>
                <w:rFonts w:ascii="仿宋_GB2312" w:hAnsi="仿宋_GB2312" w:cs="仿宋_GB2312" w:eastAsia="仿宋_GB2312"/>
                <w:sz w:val="22"/>
                <w:color w:val="000000"/>
              </w:rPr>
              <w:t>（注</w:t>
            </w:r>
            <w:r>
              <w:rPr>
                <w:rFonts w:ascii="仿宋_GB2312" w:hAnsi="仿宋_GB2312" w:cs="仿宋_GB2312" w:eastAsia="仿宋_GB2312"/>
                <w:sz w:val="22"/>
                <w:color w:val="000000"/>
              </w:rPr>
              <w:t>：本项目费用由财政拨付，如因不可抗力、政府原因</w:t>
            </w:r>
            <w:r>
              <w:rPr>
                <w:rFonts w:ascii="仿宋_GB2312" w:hAnsi="仿宋_GB2312" w:cs="仿宋_GB2312" w:eastAsia="仿宋_GB2312"/>
                <w:sz w:val="22"/>
                <w:color w:val="000000"/>
              </w:rPr>
              <w:t>或政策影响等因素导致款项</w:t>
            </w:r>
            <w:r>
              <w:rPr>
                <w:rFonts w:ascii="仿宋_GB2312" w:hAnsi="仿宋_GB2312" w:cs="仿宋_GB2312" w:eastAsia="仿宋_GB2312"/>
                <w:sz w:val="22"/>
                <w:color w:val="000000"/>
              </w:rPr>
              <w:t>未能按合同约定时效、比例支付的，甲方不承担违约</w:t>
            </w:r>
            <w:r>
              <w:rPr>
                <w:rFonts w:ascii="仿宋_GB2312" w:hAnsi="仿宋_GB2312" w:cs="仿宋_GB2312" w:eastAsia="仿宋_GB2312"/>
                <w:sz w:val="22"/>
                <w:color w:val="000000"/>
              </w:rPr>
              <w:t>责任，乙方不得以此为由拒</w:t>
            </w:r>
            <w:r>
              <w:rPr>
                <w:rFonts w:ascii="仿宋_GB2312" w:hAnsi="仿宋_GB2312" w:cs="仿宋_GB2312" w:eastAsia="仿宋_GB2312"/>
                <w:sz w:val="22"/>
                <w:color w:val="000000"/>
              </w:rPr>
              <w:t>绝履行合同约定的责任和义务）</w:t>
            </w:r>
            <w:r>
              <w:rPr>
                <w:rFonts w:ascii="仿宋_GB2312" w:hAnsi="仿宋_GB2312" w:cs="仿宋_GB2312" w:eastAsia="仿宋_GB2312"/>
                <w:sz w:val="22"/>
                <w:color w:val="000000"/>
              </w:rPr>
              <w:t>。</w:t>
            </w:r>
          </w:p>
          <w:p>
            <w:pPr>
              <w:pStyle w:val="null3"/>
              <w:ind w:firstLine="472"/>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质保期：</w:t>
            </w:r>
            <w:r>
              <w:rPr>
                <w:rFonts w:ascii="仿宋_GB2312" w:hAnsi="仿宋_GB2312" w:cs="仿宋_GB2312" w:eastAsia="仿宋_GB2312"/>
                <w:sz w:val="22"/>
                <w:color w:val="000000"/>
              </w:rPr>
              <w:t>1年</w:t>
            </w:r>
            <w:r>
              <w:rPr>
                <w:rFonts w:ascii="仿宋_GB2312" w:hAnsi="仿宋_GB2312" w:cs="仿宋_GB2312" w:eastAsia="仿宋_GB2312"/>
                <w:sz w:val="22"/>
                <w:color w:val="000000"/>
              </w:rPr>
              <w:t>（自交货验收合格之日起计算，质保期内，应提供免</w:t>
            </w:r>
            <w:r>
              <w:rPr>
                <w:rFonts w:ascii="仿宋_GB2312" w:hAnsi="仿宋_GB2312" w:cs="仿宋_GB2312" w:eastAsia="仿宋_GB2312"/>
                <w:sz w:val="22"/>
                <w:color w:val="000000"/>
              </w:rPr>
              <w:t>除一切</w:t>
            </w:r>
            <w:r>
              <w:rPr>
                <w:rFonts w:ascii="仿宋_GB2312" w:hAnsi="仿宋_GB2312" w:cs="仿宋_GB2312" w:eastAsia="仿宋_GB2312"/>
                <w:sz w:val="22"/>
                <w:color w:val="000000"/>
              </w:rPr>
              <w:t>费用的售后服务）。</w:t>
            </w:r>
          </w:p>
          <w:p>
            <w:pPr>
              <w:pStyle w:val="null3"/>
              <w:ind w:firstLine="452"/>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供货地点：</w:t>
            </w:r>
            <w:r>
              <w:rPr>
                <w:rFonts w:ascii="仿宋_GB2312" w:hAnsi="仿宋_GB2312" w:cs="仿宋_GB2312" w:eastAsia="仿宋_GB2312"/>
                <w:sz w:val="22"/>
                <w:color w:val="000000"/>
              </w:rPr>
              <w:t>采购人指定地点。</w:t>
            </w:r>
          </w:p>
          <w:p>
            <w:pPr>
              <w:pStyle w:val="null3"/>
              <w:ind w:firstLine="472"/>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产品质量标准</w:t>
            </w:r>
          </w:p>
          <w:p>
            <w:pPr>
              <w:pStyle w:val="null3"/>
              <w:ind w:firstLine="468"/>
            </w:pPr>
            <w:r>
              <w:rPr>
                <w:rFonts w:ascii="仿宋_GB2312" w:hAnsi="仿宋_GB2312" w:cs="仿宋_GB2312" w:eastAsia="仿宋_GB2312"/>
                <w:sz w:val="22"/>
                <w:color w:val="000000"/>
              </w:rPr>
              <w:t>①</w:t>
            </w:r>
            <w:r>
              <w:rPr>
                <w:rFonts w:ascii="仿宋_GB2312" w:hAnsi="仿宋_GB2312" w:cs="仿宋_GB2312" w:eastAsia="仿宋_GB2312"/>
                <w:sz w:val="22"/>
                <w:color w:val="000000"/>
              </w:rPr>
              <w:t>所投产品须符合国家标准、行业标准或者其他标准、并满足采购人采购需</w:t>
            </w:r>
            <w:r>
              <w:rPr>
                <w:rFonts w:ascii="仿宋_GB2312" w:hAnsi="仿宋_GB2312" w:cs="仿宋_GB2312" w:eastAsia="仿宋_GB2312"/>
                <w:sz w:val="22"/>
                <w:color w:val="000000"/>
              </w:rPr>
              <w:t>求。</w:t>
            </w:r>
          </w:p>
          <w:p>
            <w:pPr>
              <w:pStyle w:val="null3"/>
              <w:ind w:firstLine="468"/>
            </w:pPr>
            <w:r>
              <w:rPr>
                <w:rFonts w:ascii="仿宋_GB2312" w:hAnsi="仿宋_GB2312" w:cs="仿宋_GB2312" w:eastAsia="仿宋_GB2312"/>
                <w:sz w:val="22"/>
                <w:color w:val="000000"/>
              </w:rPr>
              <w:t>②</w:t>
            </w:r>
            <w:r>
              <w:rPr>
                <w:rFonts w:ascii="仿宋_GB2312" w:hAnsi="仿宋_GB2312" w:cs="仿宋_GB2312" w:eastAsia="仿宋_GB2312"/>
                <w:sz w:val="22"/>
                <w:color w:val="000000"/>
              </w:rPr>
              <w:t>所有产品质量必须符合国家有关规范和相关政策。质量</w:t>
            </w:r>
            <w:r>
              <w:rPr>
                <w:rFonts w:ascii="仿宋_GB2312" w:hAnsi="仿宋_GB2312" w:cs="仿宋_GB2312" w:eastAsia="仿宋_GB2312"/>
                <w:sz w:val="22"/>
                <w:color w:val="000000"/>
              </w:rPr>
              <w:t>优良、渠道正当</w:t>
            </w:r>
            <w:r>
              <w:rPr>
                <w:rFonts w:ascii="仿宋_GB2312" w:hAnsi="仿宋_GB2312" w:cs="仿宋_GB2312" w:eastAsia="仿宋_GB2312"/>
                <w:sz w:val="22"/>
                <w:color w:val="000000"/>
              </w:rPr>
              <w:t>,配置合理。</w:t>
            </w:r>
          </w:p>
          <w:p>
            <w:pPr>
              <w:pStyle w:val="null3"/>
              <w:ind w:firstLine="468"/>
            </w:pPr>
            <w:r>
              <w:rPr>
                <w:rFonts w:ascii="仿宋_GB2312" w:hAnsi="仿宋_GB2312" w:cs="仿宋_GB2312" w:eastAsia="仿宋_GB2312"/>
                <w:sz w:val="22"/>
                <w:color w:val="000000"/>
              </w:rPr>
              <w:t>③</w:t>
            </w:r>
            <w:r>
              <w:rPr>
                <w:rFonts w:ascii="仿宋_GB2312" w:hAnsi="仿宋_GB2312" w:cs="仿宋_GB2312" w:eastAsia="仿宋_GB2312"/>
                <w:sz w:val="22"/>
                <w:color w:val="000000"/>
              </w:rPr>
              <w:t>质保期出现的质量问题由成交投标人</w:t>
            </w:r>
            <w:r>
              <w:rPr>
                <w:rFonts w:ascii="仿宋_GB2312" w:hAnsi="仿宋_GB2312" w:cs="仿宋_GB2312" w:eastAsia="仿宋_GB2312"/>
                <w:sz w:val="22"/>
                <w:color w:val="000000"/>
              </w:rPr>
              <w:t>负责解决并承担所有费用。</w:t>
            </w:r>
          </w:p>
          <w:p>
            <w:pPr>
              <w:pStyle w:val="null3"/>
              <w:ind w:firstLine="472"/>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产品的验收：</w:t>
            </w:r>
          </w:p>
          <w:p>
            <w:pPr>
              <w:pStyle w:val="null3"/>
              <w:ind w:firstLine="468"/>
            </w:pPr>
            <w:r>
              <w:rPr>
                <w:rFonts w:ascii="仿宋_GB2312" w:hAnsi="仿宋_GB2312" w:cs="仿宋_GB2312" w:eastAsia="仿宋_GB2312"/>
                <w:sz w:val="22"/>
                <w:color w:val="000000"/>
              </w:rPr>
              <w:t>①</w:t>
            </w:r>
            <w:r>
              <w:rPr>
                <w:rFonts w:ascii="仿宋_GB2312" w:hAnsi="仿宋_GB2312" w:cs="仿宋_GB2312" w:eastAsia="仿宋_GB2312"/>
                <w:sz w:val="22"/>
                <w:color w:val="000000"/>
              </w:rPr>
              <w:t>产品到达交货地点后，由使用单位根据合同对产品的名称、品牌、规格、型</w:t>
            </w:r>
            <w:r>
              <w:rPr>
                <w:rFonts w:ascii="仿宋_GB2312" w:hAnsi="仿宋_GB2312" w:cs="仿宋_GB2312" w:eastAsia="仿宋_GB2312"/>
                <w:sz w:val="22"/>
                <w:color w:val="000000"/>
              </w:rPr>
              <w:t>号、产地、数量等进行检查。</w:t>
            </w:r>
          </w:p>
          <w:p>
            <w:pPr>
              <w:pStyle w:val="null3"/>
              <w:ind w:firstLine="468"/>
            </w:pPr>
            <w:r>
              <w:rPr>
                <w:rFonts w:ascii="仿宋_GB2312" w:hAnsi="仿宋_GB2312" w:cs="仿宋_GB2312" w:eastAsia="仿宋_GB2312"/>
                <w:sz w:val="22"/>
                <w:color w:val="000000"/>
              </w:rPr>
              <w:t>②</w:t>
            </w:r>
            <w:r>
              <w:rPr>
                <w:rFonts w:ascii="仿宋_GB2312" w:hAnsi="仿宋_GB2312" w:cs="仿宋_GB2312" w:eastAsia="仿宋_GB2312"/>
                <w:sz w:val="22"/>
                <w:color w:val="000000"/>
              </w:rPr>
              <w:t>验收不合格的产品，中标必须在接到通知后</w:t>
            </w:r>
            <w:r>
              <w:rPr>
                <w:rFonts w:ascii="仿宋_GB2312" w:hAnsi="仿宋_GB2312" w:cs="仿宋_GB2312" w:eastAsia="仿宋_GB2312"/>
                <w:sz w:val="22"/>
                <w:color w:val="000000"/>
              </w:rPr>
              <w:t>5个工作日内确保产品通过验收。若接到通知后5个工作日内验收仍不合格，采购人可提出索赔或取消其供货合</w:t>
            </w:r>
            <w:r>
              <w:rPr>
                <w:rFonts w:ascii="仿宋_GB2312" w:hAnsi="仿宋_GB2312" w:cs="仿宋_GB2312" w:eastAsia="仿宋_GB2312"/>
                <w:sz w:val="22"/>
                <w:color w:val="000000"/>
              </w:rPr>
              <w:t>同。</w:t>
            </w:r>
          </w:p>
          <w:p>
            <w:pPr>
              <w:pStyle w:val="null3"/>
              <w:ind w:firstLine="472"/>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产品包装要求：</w:t>
            </w:r>
          </w:p>
          <w:p>
            <w:pPr>
              <w:pStyle w:val="null3"/>
              <w:ind w:firstLine="468"/>
            </w:pPr>
            <w:r>
              <w:rPr>
                <w:rFonts w:ascii="仿宋_GB2312" w:hAnsi="仿宋_GB2312" w:cs="仿宋_GB2312" w:eastAsia="仿宋_GB2312"/>
                <w:sz w:val="22"/>
                <w:color w:val="000000"/>
              </w:rPr>
              <w:t>①</w:t>
            </w:r>
            <w:r>
              <w:rPr>
                <w:rFonts w:ascii="仿宋_GB2312" w:hAnsi="仿宋_GB2312" w:cs="仿宋_GB2312" w:eastAsia="仿宋_GB2312"/>
                <w:sz w:val="22"/>
                <w:color w:val="000000"/>
              </w:rPr>
              <w:t>投标人必须明确所投产品的厂家、品牌、品种、包装规格和一些必须说明的技术参数。</w:t>
            </w:r>
          </w:p>
          <w:p>
            <w:pPr>
              <w:pStyle w:val="null3"/>
              <w:ind w:firstLine="468"/>
            </w:pPr>
            <w:r>
              <w:rPr>
                <w:rFonts w:ascii="仿宋_GB2312" w:hAnsi="仿宋_GB2312" w:cs="仿宋_GB2312" w:eastAsia="仿宋_GB2312"/>
                <w:sz w:val="22"/>
                <w:color w:val="000000"/>
              </w:rPr>
              <w:t>②</w:t>
            </w:r>
            <w:r>
              <w:rPr>
                <w:rFonts w:ascii="仿宋_GB2312" w:hAnsi="仿宋_GB2312" w:cs="仿宋_GB2312" w:eastAsia="仿宋_GB2312"/>
                <w:sz w:val="22"/>
                <w:color w:val="000000"/>
              </w:rPr>
              <w:t>所提供产品须按相应的国家标准和产品的特殊要求包装，均应有良好的防</w:t>
            </w:r>
            <w:r>
              <w:rPr>
                <w:rFonts w:ascii="仿宋_GB2312" w:hAnsi="仿宋_GB2312" w:cs="仿宋_GB2312" w:eastAsia="仿宋_GB2312"/>
                <w:sz w:val="22"/>
                <w:color w:val="000000"/>
              </w:rPr>
              <w:t>湿、防锈、防潮、防雨、防腐及防碰撞的措施。凡由于包</w:t>
            </w:r>
            <w:r>
              <w:rPr>
                <w:rFonts w:ascii="仿宋_GB2312" w:hAnsi="仿宋_GB2312" w:cs="仿宋_GB2312" w:eastAsia="仿宋_GB2312"/>
                <w:sz w:val="22"/>
                <w:color w:val="000000"/>
              </w:rPr>
              <w:t>装不良造成的损失和由</w:t>
            </w:r>
            <w:r>
              <w:rPr>
                <w:rFonts w:ascii="仿宋_GB2312" w:hAnsi="仿宋_GB2312" w:cs="仿宋_GB2312" w:eastAsia="仿宋_GB2312"/>
                <w:sz w:val="22"/>
                <w:color w:val="000000"/>
              </w:rPr>
              <w:t>此产生的费用均由中标人承担。内外包装的标志编号清晰</w:t>
            </w:r>
            <w:r>
              <w:rPr>
                <w:rFonts w:ascii="仿宋_GB2312" w:hAnsi="仿宋_GB2312" w:cs="仿宋_GB2312" w:eastAsia="仿宋_GB2312"/>
                <w:sz w:val="22"/>
                <w:color w:val="000000"/>
              </w:rPr>
              <w:t>，标签内容完整。包装质量要求不得低于投标时提交包装质量标准。包装规格与成交时包装规格一致，</w:t>
            </w:r>
            <w:r>
              <w:rPr>
                <w:rFonts w:ascii="仿宋_GB2312" w:hAnsi="仿宋_GB2312" w:cs="仿宋_GB2312" w:eastAsia="仿宋_GB2312"/>
                <w:sz w:val="22"/>
                <w:color w:val="000000"/>
              </w:rPr>
              <w:t>不得更改。</w:t>
            </w:r>
          </w:p>
          <w:p>
            <w:pPr>
              <w:pStyle w:val="null3"/>
              <w:ind w:firstLine="472"/>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验收标准及要求</w:t>
            </w:r>
            <w:r>
              <w:rPr>
                <w:rFonts w:ascii="仿宋_GB2312" w:hAnsi="仿宋_GB2312" w:cs="仿宋_GB2312" w:eastAsia="仿宋_GB2312"/>
                <w:sz w:val="22"/>
                <w:color w:val="000000"/>
              </w:rPr>
              <w:t>:</w:t>
            </w:r>
          </w:p>
          <w:p>
            <w:pPr>
              <w:pStyle w:val="null3"/>
              <w:ind w:firstLine="464"/>
            </w:pPr>
            <w:r>
              <w:rPr>
                <w:rFonts w:ascii="仿宋_GB2312" w:hAnsi="仿宋_GB2312" w:cs="仿宋_GB2312" w:eastAsia="仿宋_GB2312"/>
                <w:sz w:val="22"/>
                <w:color w:val="000000"/>
              </w:rPr>
              <w:t>①</w:t>
            </w:r>
            <w:r>
              <w:rPr>
                <w:rFonts w:ascii="仿宋_GB2312" w:hAnsi="仿宋_GB2312" w:cs="仿宋_GB2312" w:eastAsia="仿宋_GB2312"/>
                <w:sz w:val="22"/>
                <w:color w:val="000000"/>
              </w:rPr>
              <w:t>中标人按期供货完成后，向采购人提交验收申请；</w:t>
            </w:r>
          </w:p>
          <w:p>
            <w:pPr>
              <w:pStyle w:val="null3"/>
              <w:ind w:firstLine="468"/>
            </w:pPr>
            <w:r>
              <w:rPr>
                <w:rFonts w:ascii="仿宋_GB2312" w:hAnsi="仿宋_GB2312" w:cs="仿宋_GB2312" w:eastAsia="仿宋_GB2312"/>
                <w:sz w:val="22"/>
                <w:color w:val="000000"/>
              </w:rPr>
              <w:t>②</w:t>
            </w:r>
            <w:r>
              <w:rPr>
                <w:rFonts w:ascii="仿宋_GB2312" w:hAnsi="仿宋_GB2312" w:cs="仿宋_GB2312" w:eastAsia="仿宋_GB2312"/>
                <w:sz w:val="22"/>
                <w:color w:val="000000"/>
              </w:rPr>
              <w:t>采购人收到验收申请后组织验收，验收时中标人应无条件予以配合并提供</w:t>
            </w:r>
            <w:r>
              <w:rPr>
                <w:rFonts w:ascii="仿宋_GB2312" w:hAnsi="仿宋_GB2312" w:cs="仿宋_GB2312" w:eastAsia="仿宋_GB2312"/>
                <w:sz w:val="22"/>
                <w:color w:val="000000"/>
              </w:rPr>
              <w:t>验收所需的必要资料，若中标人不配合或者未按时交货或交</w:t>
            </w:r>
            <w:r>
              <w:rPr>
                <w:rFonts w:ascii="仿宋_GB2312" w:hAnsi="仿宋_GB2312" w:cs="仿宋_GB2312" w:eastAsia="仿宋_GB2312"/>
                <w:sz w:val="22"/>
                <w:color w:val="000000"/>
              </w:rPr>
              <w:t>货不全的，采购人将</w:t>
            </w:r>
            <w:r>
              <w:rPr>
                <w:rFonts w:ascii="仿宋_GB2312" w:hAnsi="仿宋_GB2312" w:cs="仿宋_GB2312" w:eastAsia="仿宋_GB2312"/>
                <w:sz w:val="22"/>
                <w:color w:val="000000"/>
              </w:rPr>
              <w:t>拒绝验收；</w:t>
            </w:r>
          </w:p>
          <w:p>
            <w:pPr>
              <w:pStyle w:val="null3"/>
              <w:ind w:firstLine="464"/>
            </w:pPr>
            <w:r>
              <w:rPr>
                <w:rFonts w:ascii="仿宋_GB2312" w:hAnsi="仿宋_GB2312" w:cs="仿宋_GB2312" w:eastAsia="仿宋_GB2312"/>
                <w:sz w:val="22"/>
                <w:color w:val="000000"/>
              </w:rPr>
              <w:t>③</w:t>
            </w:r>
            <w:r>
              <w:rPr>
                <w:rFonts w:ascii="仿宋_GB2312" w:hAnsi="仿宋_GB2312" w:cs="仿宋_GB2312" w:eastAsia="仿宋_GB2312"/>
                <w:sz w:val="22"/>
                <w:color w:val="000000"/>
              </w:rPr>
              <w:t>质量应符合相关国家标准</w:t>
            </w:r>
            <w:r>
              <w:rPr>
                <w:rFonts w:ascii="仿宋_GB2312" w:hAnsi="仿宋_GB2312" w:cs="仿宋_GB2312" w:eastAsia="仿宋_GB2312"/>
                <w:sz w:val="22"/>
                <w:color w:val="000000"/>
              </w:rPr>
              <w:t>,包装标识符合国家相关标准。</w:t>
            </w:r>
          </w:p>
          <w:p>
            <w:pPr>
              <w:pStyle w:val="null3"/>
              <w:ind w:firstLine="468"/>
            </w:pPr>
            <w:r>
              <w:rPr>
                <w:rFonts w:ascii="仿宋_GB2312" w:hAnsi="仿宋_GB2312" w:cs="仿宋_GB2312" w:eastAsia="仿宋_GB2312"/>
                <w:sz w:val="22"/>
                <w:color w:val="000000"/>
              </w:rPr>
              <w:t>④</w:t>
            </w:r>
            <w:r>
              <w:rPr>
                <w:rFonts w:ascii="仿宋_GB2312" w:hAnsi="仿宋_GB2312" w:cs="仿宋_GB2312" w:eastAsia="仿宋_GB2312"/>
                <w:sz w:val="22"/>
                <w:color w:val="000000"/>
              </w:rPr>
              <w:t>所供产品的规格、数量符合采购文件投标人投标承诺及采购合同约定的要</w:t>
            </w:r>
            <w:r>
              <w:rPr>
                <w:rFonts w:ascii="仿宋_GB2312" w:hAnsi="仿宋_GB2312" w:cs="仿宋_GB2312" w:eastAsia="仿宋_GB2312"/>
                <w:sz w:val="22"/>
                <w:color w:val="000000"/>
              </w:rPr>
              <w:t>求。</w:t>
            </w:r>
          </w:p>
          <w:p>
            <w:pPr>
              <w:pStyle w:val="null3"/>
              <w:ind w:firstLine="468"/>
            </w:pPr>
            <w:r>
              <w:rPr>
                <w:rFonts w:ascii="仿宋_GB2312" w:hAnsi="仿宋_GB2312" w:cs="仿宋_GB2312" w:eastAsia="仿宋_GB2312"/>
                <w:sz w:val="22"/>
                <w:color w:val="000000"/>
              </w:rPr>
              <w:t>⑤</w:t>
            </w:r>
            <w:r>
              <w:rPr>
                <w:rFonts w:ascii="仿宋_GB2312" w:hAnsi="仿宋_GB2312" w:cs="仿宋_GB2312" w:eastAsia="仿宋_GB2312"/>
                <w:sz w:val="22"/>
                <w:color w:val="000000"/>
              </w:rPr>
              <w:t>所有产品均已运输至指定地点存放。本项目所有货物均应有良好的防湿、防潮、防污染及防碰撞的措施。凡由于包装不良造成的损失和由此产生的费用均</w:t>
            </w:r>
            <w:r>
              <w:rPr>
                <w:rFonts w:ascii="仿宋_GB2312" w:hAnsi="仿宋_GB2312" w:cs="仿宋_GB2312" w:eastAsia="仿宋_GB2312"/>
                <w:sz w:val="22"/>
                <w:color w:val="000000"/>
              </w:rPr>
              <w:t>由中标人承担。</w:t>
            </w:r>
          </w:p>
          <w:p>
            <w:pPr>
              <w:pStyle w:val="null3"/>
              <w:ind w:firstLine="468"/>
            </w:pPr>
            <w:r>
              <w:rPr>
                <w:rFonts w:ascii="仿宋_GB2312" w:hAnsi="仿宋_GB2312" w:cs="仿宋_GB2312" w:eastAsia="仿宋_GB2312"/>
                <w:sz w:val="22"/>
                <w:color w:val="000000"/>
              </w:rPr>
              <w:t>⑥</w:t>
            </w:r>
            <w:r>
              <w:rPr>
                <w:rFonts w:ascii="仿宋_GB2312" w:hAnsi="仿宋_GB2312" w:cs="仿宋_GB2312" w:eastAsia="仿宋_GB2312"/>
                <w:sz w:val="22"/>
                <w:color w:val="000000"/>
              </w:rPr>
              <w:t>由采购人和投标人共同对产品进行验收。其内容包括产品质量是否达到现</w:t>
            </w:r>
            <w:r>
              <w:rPr>
                <w:rFonts w:ascii="仿宋_GB2312" w:hAnsi="仿宋_GB2312" w:cs="仿宋_GB2312" w:eastAsia="仿宋_GB2312"/>
                <w:sz w:val="22"/>
                <w:color w:val="000000"/>
              </w:rPr>
              <w:t>行国家有关验收规范</w:t>
            </w:r>
            <w:r>
              <w:rPr>
                <w:rFonts w:ascii="仿宋_GB2312" w:hAnsi="仿宋_GB2312" w:cs="仿宋_GB2312" w:eastAsia="仿宋_GB2312"/>
                <w:sz w:val="22"/>
                <w:color w:val="000000"/>
              </w:rPr>
              <w:t>“合格”标准进行逐项检查。</w:t>
            </w:r>
          </w:p>
          <w:p>
            <w:pPr>
              <w:pStyle w:val="null3"/>
              <w:jc w:val="left"/>
            </w:pPr>
            <w:r>
              <w:rPr>
                <w:rFonts w:ascii="仿宋_GB2312" w:hAnsi="仿宋_GB2312" w:cs="仿宋_GB2312" w:eastAsia="仿宋_GB2312"/>
                <w:sz w:val="22"/>
                <w:color w:val="000000"/>
              </w:rPr>
              <w:t xml:space="preserve">  ⑦</w:t>
            </w:r>
            <w:r>
              <w:rPr>
                <w:rFonts w:ascii="仿宋_GB2312" w:hAnsi="仿宋_GB2312" w:cs="仿宋_GB2312" w:eastAsia="仿宋_GB2312"/>
                <w:sz w:val="22"/>
                <w:color w:val="000000"/>
              </w:rPr>
              <w:t>所有产品使用包装完好、全新的合格产品，不得使用积</w:t>
            </w:r>
            <w:r>
              <w:rPr>
                <w:rFonts w:ascii="仿宋_GB2312" w:hAnsi="仿宋_GB2312" w:cs="仿宋_GB2312" w:eastAsia="仿宋_GB2312"/>
                <w:sz w:val="22"/>
                <w:color w:val="000000"/>
              </w:rPr>
              <w:t>压材料。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合同签订之日起7日历天内完成供货。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银行转账方式结算。所有产品供货完成，中标方需开具合法合规的有效发票给采购人，待财政资金到位后采购人一次性向中标方付清合同款项（注：本项目费用由财政拨付，如因不可抗力、政府原因或政策影响等因素导致款项未能按合同约定时效、比例支付的，甲方不承担违约责任，乙方不得以此为由拒绝履行合同约定的责任和义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①中标人按期供货完成后，向采购人提交验收申请； ②采购人收到验收申请后组织验收，验收时中标人应无条件予以配合并提供验收所需的必要资料，若中标人不配合或者未按时交货或交货不全的，采购人将拒绝验收； ③质量应符合相关国家标准,包装标识符合国家相关标准。 ④所供产品的规格、数量符合采购文件投标人投标承诺及采购合同约定的要求。 ⑤所有产品均已运输至指定地点存放。本项目所有货物均应有良好的防湿、防潮、防污染及防碰撞的措施。凡由于包装不良造成的损失和由此产生的费用均由中标人承担。 ⑥由采购人和投标人共同对产品进行验收。其内容包括产品质量是否达到现行国家有关验收规范“合格”标准进行逐项检查。 ⑦所有产品使用包装完好、全新的合格产品，不得使用积压材料。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质保期：1年（自交货验收合格之日起计算，质保期内，应提供免除一切费用的售后服务）。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双方约定，在履行合同过程中产生争议时：（1）请合同主管部门调解；（2）合同争议调解不成的，依法向渭南市富平县人民法院提起诉讼。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2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特定资格要求.docx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特定资格要求.docx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投标函 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w:t>
            </w:r>
          </w:p>
        </w:tc>
        <w:tc>
          <w:tcPr>
            <w:tcW w:type="dxa" w:w="1661"/>
          </w:tcPr>
          <w:p>
            <w:pPr>
              <w:pStyle w:val="null3"/>
            </w:pPr>
            <w:r>
              <w:rPr>
                <w:rFonts w:ascii="仿宋_GB2312" w:hAnsi="仿宋_GB2312" w:cs="仿宋_GB2312" w:eastAsia="仿宋_GB2312"/>
              </w:rPr>
              <w:t>特定资格要求.docx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供应商须提供投标截止时间前六个月内任意一个月的税收缴纳凭证（注：依法免税或零申报的供应商应提供相关文件证明；若为新成立企业须提供相应月度的缴税证明）；</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企业肥料资质要求</w:t>
            </w:r>
          </w:p>
        </w:tc>
        <w:tc>
          <w:tcPr>
            <w:tcW w:type="dxa" w:w="3322"/>
          </w:tcPr>
          <w:p>
            <w:pPr>
              <w:pStyle w:val="null3"/>
            </w:pPr>
            <w:r>
              <w:rPr>
                <w:rFonts w:ascii="仿宋_GB2312" w:hAnsi="仿宋_GB2312" w:cs="仿宋_GB2312" w:eastAsia="仿宋_GB2312"/>
              </w:rPr>
              <w:t>供应商为生产制造厂商的须提供所投产品农业部门批准核发的《肥料登记证》或备案查询截图加盖制造商公章；供应商为代理经销商须提供生产制造厂商农业部门批准核发《肥料登记证》或备案查询截图复印件加盖生产制造厂商单位公章；</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供应商须提供具有履行合同所必需的设备和专业技术能力的说明及承诺书（加盖供应商公章）；</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参加本次投标前3年内，在经营活动中没有重大违法记录的书面声明</w:t>
            </w:r>
          </w:p>
        </w:tc>
        <w:tc>
          <w:tcPr>
            <w:tcW w:type="dxa" w:w="3322"/>
          </w:tcPr>
          <w:p>
            <w:pPr>
              <w:pStyle w:val="null3"/>
            </w:pPr>
            <w:r>
              <w:rPr>
                <w:rFonts w:ascii="仿宋_GB2312" w:hAnsi="仿宋_GB2312" w:cs="仿宋_GB2312" w:eastAsia="仿宋_GB2312"/>
              </w:rPr>
              <w:t>提供在参加本次投标前3年内，在经营活动中没有重大违法记录的书面声明</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信用中国及中国政府采购网查询</w:t>
            </w:r>
          </w:p>
        </w:tc>
        <w:tc>
          <w:tcPr>
            <w:tcW w:type="dxa" w:w="3322"/>
          </w:tcPr>
          <w:p>
            <w:pPr>
              <w:pStyle w:val="null3"/>
            </w:pPr>
            <w:r>
              <w:rPr>
                <w:rFonts w:ascii="仿宋_GB2312" w:hAnsi="仿宋_GB2312" w:cs="仿宋_GB2312" w:eastAsia="仿宋_GB2312"/>
              </w:rPr>
              <w:t>投标人不得为“中国信息执行公开网”网站（http://zxgk.court.gov.cn/）中失信被执行人和“信用中国”网站（www.creditchina.gov.cn）重大税收违法失信主体，未被列入“中国政府采购网”（http://www.ccgp.gov.cn/search/cr/）政府采购严重违法失信行为记录名单；</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提供投标保证金转账凭证和基本存款账户信息证明资料复印件并加盖单位公章或金融机构、担保机构出具的保函复印件，复印件均须加盖公章；</w:t>
            </w:r>
          </w:p>
        </w:tc>
        <w:tc>
          <w:tcPr>
            <w:tcW w:type="dxa" w:w="1661"/>
          </w:tcPr>
          <w:p>
            <w:pPr>
              <w:pStyle w:val="null3"/>
            </w:pPr>
            <w:r>
              <w:rPr>
                <w:rFonts w:ascii="仿宋_GB2312" w:hAnsi="仿宋_GB2312" w:cs="仿宋_GB2312" w:eastAsia="仿宋_GB2312"/>
              </w:rPr>
              <w:t>投标函 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单位负责人为同一人或者存在直接控股、管理关系的不同供应商，不得参加同一合同项下的投标活动的承诺书</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 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特定资格要求.docx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特定资格要求.docx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产品来源渠道及技术要求.docx 售后服务方案.docx 开标一览表 培训方案.docx 类似项目业绩一览表.docx 中小企业声明函 特定资格要求.docx 质量保证措施.docx 供货进度保证方案.docx 商务响应偏差表.docx 其他相关资料.docx 投标人应提交的相关资格证明材料 分项报价表.docx 应急预案.docx 投标函 残疾人福利性单位声明函 标的清单 投标文件封面 技术响应偏差表.docx 实施方案.docx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产品来源渠道及技术要求.docx 售后服务方案.docx 培训方案.docx 类似项目业绩一览表.docx 中小企业声明函 特定资格要求.docx 质量保证措施.docx 供货进度保证方案.docx 商务响应偏差表.docx 其他相关资料.docx 投标人应提交的相关资格证明材料 分项报价表.docx 应急预案.docx 投标函 残疾人福利性单位声明函 标的清单 投标文件封面 技术响应偏差表.docx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特定资格要求.docx 投标文件封面 商务响应偏差表.docx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投标文件中签字、盖章是否有效，是否符合招标文件要求</w:t>
            </w:r>
          </w:p>
        </w:tc>
        <w:tc>
          <w:tcPr>
            <w:tcW w:type="dxa" w:w="1661"/>
          </w:tcPr>
          <w:p>
            <w:pPr>
              <w:pStyle w:val="null3"/>
            </w:pPr>
            <w:r>
              <w:rPr>
                <w:rFonts w:ascii="仿宋_GB2312" w:hAnsi="仿宋_GB2312" w:cs="仿宋_GB2312" w:eastAsia="仿宋_GB2312"/>
              </w:rPr>
              <w:t>开标一览表 产品来源渠道及技术要求.docx 售后服务方案.docx 培训方案.docx 类似项目业绩一览表.docx 中小企业声明函 特定资格要求.docx 质量保证措施.docx 供货进度保证方案.docx 商务响应偏差表.docx 其他相关资料.docx 投标人应提交的相关资格证明材料 分项报价表.docx 应急预案.docx 投标函 残疾人福利性单位声明函 标的清单 投标文件封面 技术响应偏差表.docx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投标文件内容齐全，无重大缺漏项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供应商不得提交选择性报价，只有一个有效报价，且报价不超过采购预算或最高限价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交货期、交货地点及质保期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 商务响应偏差表.docx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无效投标情形</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产品来源渠道及技术要求.docx 售后服务方案.docx 培训方案.docx 类似项目业绩一览表.docx 中小企业声明函 特定资格要求.docx 质量保证措施.docx 供货进度保证方案.docx 商务响应偏差表.docx 其他相关资料.docx 投标人应提交的相关资格证明材料 分项报价表.docx 应急预案.docx 投标函 残疾人福利性单位声明函 标的清单 投标文件封面 技术响应偏差表.docx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产品来源渠道及技术要求</w:t>
            </w:r>
          </w:p>
        </w:tc>
        <w:tc>
          <w:tcPr>
            <w:tcW w:type="dxa" w:w="2492"/>
          </w:tcPr>
          <w:p>
            <w:pPr>
              <w:pStyle w:val="null3"/>
            </w:pPr>
            <w:r>
              <w:rPr>
                <w:rFonts w:ascii="仿宋_GB2312" w:hAnsi="仿宋_GB2312" w:cs="仿宋_GB2312" w:eastAsia="仿宋_GB2312"/>
              </w:rPr>
              <w:t>所投产品的技术参数等符合招标文件要求，提供产品的技术资料（包括不限于自身生产证明/产品合格证、厂家授权/代理协议/质量检验报告等证明材料） 评审标准：（1）产品技术规格满足或优于采购人要求、证明资料齐全、详细、完整、充分，计5-8分；（2）产品技术规格满足采购人要求、证明资料较简单、不充分，计0-4分；(3）未提供不计分。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产品来源渠道及技术要求.docx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合理可行的实施方案，内容包含不限于①备货、供货及保证措施方案等；②服务流程；③服务工作内容；④组织管理方案；⑤包装运输；⑥项目实施；⑦人员配备等。实施方案应具有全面性、可行性、针对性，方案明确，布局规范。 （1）提供具体详细的实施方案,方案总体思路清晰，实施方法及工作安排合理，涵盖内容全面，针对性操作性强得16分；（2）提供具体详细的实施方案，方案总体思路清晰，实施方法及工作安排合理，涵盖内容全面，有针对性操作性得12分；（3）提供较为具体的实施方案，方案总体思路较清晰，实施方法及工作安排较合理，涵盖内容较全面，针对性一般得8分；(4）提供实施方案涵盖内容不全面，无法保证项目顺利完成得4分；（5）未提供方案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针对本项目提供质量保证措施，内容包括但不限于①质量管理措施；②质量控制方案；③质量管理体系；④产品质量保证措施；⑤实施质量保证措施等，能有效地保障项目实施过程的衔接、保证项目整体质量。 （1）提供具体详细的确保质量的技术组织措施实施方案，方案总体思路清晰，实施方法合理可行，涵盖内容全面，针对性操作性强得10分；（2）提供具体详质量保证措施细的实施方案，方案总体思路清晰，实施方法较合理，涵盖内容全面，有针对性操作性得8分；（3）提供较为具体的实施方案，方案总体思路较清晰，实施方法不全，涵盖内容较全面，针对性一般得6分；（4）提供实施方案涵盖内容不全面，无法保证项目质量得4分；（5）方案内容简单笼统，实施难度大的得2分。（6）未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针对本项目提供预防及应急预案，内容包括但不限于①应急方案及措施；②质量问题补救措施；③运输措施；④验收措施等。 （1)方案科学全面、详细具体、针对性强得6分；（2）应急方案科学全面、详细具体、针对性较强得4分；（3）方案基本可行，但不够全面且方案存在欠缺、不利于实施得2分。（4）未提供方案不得分。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供货进度保证方案</w:t>
            </w:r>
          </w:p>
        </w:tc>
        <w:tc>
          <w:tcPr>
            <w:tcW w:type="dxa" w:w="2492"/>
          </w:tcPr>
          <w:p>
            <w:pPr>
              <w:pStyle w:val="null3"/>
            </w:pPr>
            <w:r>
              <w:rPr>
                <w:rFonts w:ascii="仿宋_GB2312" w:hAnsi="仿宋_GB2312" w:cs="仿宋_GB2312" w:eastAsia="仿宋_GB2312"/>
              </w:rPr>
              <w:t>针对本项目提供供货进度保证方案，内容包括但不限于①项目进度安排；②组织协调措施等。 (1）方案能满足用户需求，方案内容详细、合理，且易于实施，得8分；（2）方案基本满足用户需求,方案内容较详细、合理性较好，考虑较周全，得6分；（3）方案内容一般，不够全面，得4分；(4）方案水平较低，方案内容不详细，可行性较低，缺乏相应内容，得2分；（5）未能提供方案的或其他情况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供货进度保证方案.docx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针对本项目提供完整、可行的售后服务方案，内容包括但不限于①售后服务人员安排；②售后服务响应时间与处理时间；③售后服务内容及方式等。 （1）方案能满足采购需求，方案内容详细、合理,且易于实施，得8分；（2）方案基本满足用户需求，方案内容较详细、合理性较好，考虑较周全，得6分；（3）方案内容一般，不够全面，得4分；（4）方案水平较低，方案内容不详细，可行性较低，缺乏相应内容，得2分；（5）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针对本项目具有相应的培训方案，内容包括但不限于①培训方案；②培训人数及场次；③培训内容；④培训计划；⑤培训措施承诺。 （1）培训方案全面、合理、有针对性得6分；（2）培训方案在全面性、合理性、针对性上有欠缺得4分；（3）培训方案不全面、不合理得2分；（4）未能提供方案的或其他情况的不得分。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供应商提供近三年（2022年10月至今）内承担过类似项目业绩，每提供一个有效业绩得2分，最高得8分。 注：每个有效业绩须包含以下内容：完整的供货服务合同复印件(提供合同首页、主要内容页、金额页、盖章页等关键页复印件并加盖公章）。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采用低价优先法计算，即满足招标文件要求且投标价最低的投标报价为评标基准价，其价格分为满分。 投标报价得分＝（评标基准价/投标报价）×30%×100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详见附件：商务响应偏差表.docx</w:t>
      </w:r>
    </w:p>
    <w:p>
      <w:pPr>
        <w:pStyle w:val="null3"/>
        <w:ind w:firstLine="960"/>
      </w:pPr>
      <w:r>
        <w:rPr>
          <w:rFonts w:ascii="仿宋_GB2312" w:hAnsi="仿宋_GB2312" w:cs="仿宋_GB2312" w:eastAsia="仿宋_GB2312"/>
        </w:rPr>
        <w:t>详见附件：技术响应偏差表.docx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详见附件：产品来源渠道及技术要求.docx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详见附件：供货进度保证方案.docx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详见附件：特定资格要求.docx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