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171537">
      <w:pPr>
        <w:pStyle w:val="2"/>
        <w:bidi w:val="0"/>
        <w:outlineLvl w:val="0"/>
        <w:rPr>
          <w:rFonts w:hint="eastAsia"/>
          <w:spacing w:val="0"/>
        </w:rPr>
      </w:pPr>
      <w:r>
        <w:rPr>
          <w:rFonts w:hint="eastAsia"/>
          <w:spacing w:val="0"/>
        </w:rPr>
        <w:t>政府采购合同格式</w:t>
      </w:r>
    </w:p>
    <w:p w14:paraId="60470EC6">
      <w:pPr>
        <w:pStyle w:val="9"/>
        <w:spacing w:beforeLines="100" w:line="360" w:lineRule="auto"/>
        <w:ind w:firstLine="420"/>
        <w:jc w:val="center"/>
        <w:outlineLvl w:val="9"/>
        <w:rPr>
          <w:rFonts w:ascii="宋体" w:hAnsi="宋体"/>
          <w:color w:val="auto"/>
          <w:spacing w:val="0"/>
          <w:sz w:val="21"/>
          <w:szCs w:val="21"/>
        </w:rPr>
      </w:pPr>
      <w:r>
        <w:rPr>
          <w:rFonts w:hint="eastAsia" w:ascii="宋体" w:hAnsi="宋体"/>
          <w:color w:val="auto"/>
          <w:spacing w:val="0"/>
          <w:sz w:val="21"/>
          <w:szCs w:val="21"/>
        </w:rPr>
        <w:t>（注：本合同为示范文本，最终以甲乙双方签订的合同为准）</w:t>
      </w:r>
    </w:p>
    <w:p w14:paraId="5D74956B">
      <w:pPr>
        <w:pStyle w:val="9"/>
        <w:spacing w:beforeLines="100" w:line="360" w:lineRule="auto"/>
        <w:ind w:firstLine="420"/>
        <w:outlineLvl w:val="9"/>
        <w:rPr>
          <w:rFonts w:ascii="宋体" w:hAnsi="宋体"/>
          <w:color w:val="auto"/>
          <w:spacing w:val="0"/>
          <w:sz w:val="21"/>
          <w:szCs w:val="21"/>
        </w:rPr>
      </w:pPr>
      <w:r>
        <w:rPr>
          <w:rFonts w:hint="eastAsia" w:ascii="宋体" w:hAnsi="宋体"/>
          <w:color w:val="auto"/>
          <w:spacing w:val="0"/>
          <w:sz w:val="21"/>
          <w:szCs w:val="21"/>
        </w:rPr>
        <w:t xml:space="preserve">合同编号： </w:t>
      </w:r>
    </w:p>
    <w:p w14:paraId="65107962">
      <w:pPr>
        <w:pStyle w:val="9"/>
        <w:spacing w:line="360" w:lineRule="auto"/>
        <w:ind w:firstLine="420"/>
        <w:outlineLvl w:val="9"/>
        <w:rPr>
          <w:rFonts w:ascii="宋体" w:hAnsi="宋体"/>
          <w:color w:val="auto"/>
          <w:spacing w:val="0"/>
          <w:sz w:val="21"/>
          <w:szCs w:val="21"/>
        </w:rPr>
      </w:pPr>
      <w:r>
        <w:rPr>
          <w:rFonts w:hint="eastAsia" w:ascii="宋体" w:hAnsi="宋体"/>
          <w:color w:val="auto"/>
          <w:spacing w:val="0"/>
          <w:sz w:val="21"/>
          <w:szCs w:val="21"/>
        </w:rPr>
        <w:t xml:space="preserve">签订地点： </w:t>
      </w:r>
    </w:p>
    <w:p w14:paraId="73482D95">
      <w:pPr>
        <w:pStyle w:val="9"/>
        <w:spacing w:line="360" w:lineRule="auto"/>
        <w:ind w:firstLine="420"/>
        <w:outlineLvl w:val="9"/>
        <w:rPr>
          <w:rFonts w:ascii="宋体" w:hAnsi="宋体"/>
          <w:color w:val="auto"/>
          <w:spacing w:val="0"/>
          <w:sz w:val="21"/>
          <w:szCs w:val="21"/>
        </w:rPr>
      </w:pPr>
      <w:r>
        <w:rPr>
          <w:rFonts w:hint="eastAsia" w:ascii="宋体" w:hAnsi="宋体"/>
          <w:color w:val="auto"/>
          <w:spacing w:val="0"/>
          <w:sz w:val="21"/>
          <w:szCs w:val="21"/>
        </w:rPr>
        <w:t>签订时间:</w:t>
      </w:r>
    </w:p>
    <w:p w14:paraId="02A4A592">
      <w:pPr>
        <w:pStyle w:val="9"/>
        <w:spacing w:line="360" w:lineRule="auto"/>
        <w:ind w:firstLine="420"/>
        <w:outlineLvl w:val="9"/>
        <w:rPr>
          <w:rFonts w:ascii="宋体" w:hAnsi="宋体"/>
          <w:color w:val="auto"/>
          <w:spacing w:val="0"/>
          <w:sz w:val="21"/>
          <w:szCs w:val="21"/>
        </w:rPr>
      </w:pPr>
      <w:r>
        <w:rPr>
          <w:rFonts w:hint="eastAsia" w:ascii="宋体" w:hAnsi="宋体"/>
          <w:color w:val="auto"/>
          <w:spacing w:val="0"/>
          <w:sz w:val="21"/>
          <w:szCs w:val="21"/>
        </w:rPr>
        <w:t>采购人（甲方）：</w:t>
      </w:r>
    </w:p>
    <w:p w14:paraId="59540F53">
      <w:pPr>
        <w:pStyle w:val="9"/>
        <w:spacing w:line="360" w:lineRule="auto"/>
        <w:ind w:firstLine="420"/>
        <w:outlineLvl w:val="9"/>
        <w:rPr>
          <w:rFonts w:ascii="宋体" w:hAnsi="宋体"/>
          <w:color w:val="auto"/>
          <w:spacing w:val="0"/>
          <w:sz w:val="21"/>
          <w:szCs w:val="21"/>
        </w:rPr>
      </w:pPr>
      <w:r>
        <w:rPr>
          <w:rFonts w:hint="eastAsia" w:ascii="宋体" w:hAnsi="宋体"/>
          <w:color w:val="auto"/>
          <w:spacing w:val="0"/>
          <w:sz w:val="21"/>
          <w:szCs w:val="21"/>
        </w:rPr>
        <w:t>投标人（乙方）：</w:t>
      </w:r>
    </w:p>
    <w:p w14:paraId="35C63A2E">
      <w:pPr>
        <w:spacing w:line="360" w:lineRule="auto"/>
        <w:ind w:firstLine="444" w:firstLineChars="200"/>
        <w:outlineLvl w:val="9"/>
        <w:rPr>
          <w:rFonts w:ascii="宋体" w:hAnsi="宋体" w:cs="宋体"/>
          <w:color w:val="auto"/>
          <w:spacing w:val="0"/>
          <w:szCs w:val="21"/>
        </w:rPr>
      </w:pPr>
      <w:r>
        <w:rPr>
          <w:rFonts w:hint="eastAsia" w:ascii="宋体" w:hAnsi="宋体" w:cs="宋体"/>
          <w:color w:val="auto"/>
          <w:spacing w:val="6"/>
          <w:sz w:val="21"/>
          <w:szCs w:val="21"/>
        </w:rPr>
        <w:t>根据《中华人民共和国政府采购法》及实施条例、《中华人民共和国民法典》和甲方</w:t>
      </w:r>
      <w:r>
        <w:rPr>
          <w:rFonts w:hint="eastAsia" w:ascii="宋体" w:hAnsi="宋体" w:cs="宋体"/>
          <w:color w:val="auto"/>
          <w:spacing w:val="6"/>
          <w:sz w:val="21"/>
          <w:szCs w:val="21"/>
          <w:u w:val="single"/>
          <w:lang w:val="en-US" w:eastAsia="zh-CN"/>
        </w:rPr>
        <w:t xml:space="preserve">        </w:t>
      </w:r>
      <w:r>
        <w:rPr>
          <w:rFonts w:hint="eastAsia" w:ascii="宋体" w:hAnsi="宋体" w:cs="宋体"/>
          <w:color w:val="auto"/>
          <w:spacing w:val="0"/>
          <w:szCs w:val="21"/>
          <w:u w:val="single"/>
          <w:lang w:eastAsia="zh-CN"/>
        </w:rPr>
        <w:t>（</w:t>
      </w:r>
      <w:r>
        <w:rPr>
          <w:rFonts w:hint="eastAsia" w:ascii="宋体" w:hAnsi="宋体" w:cs="宋体"/>
          <w:color w:val="auto"/>
          <w:spacing w:val="0"/>
          <w:szCs w:val="21"/>
          <w:u w:val="single"/>
          <w:lang w:val="en-US" w:eastAsia="zh-CN"/>
        </w:rPr>
        <w:t>项目名称</w:t>
      </w:r>
      <w:r>
        <w:rPr>
          <w:rFonts w:hint="eastAsia" w:ascii="宋体" w:hAnsi="宋体" w:cs="宋体"/>
          <w:color w:val="auto"/>
          <w:spacing w:val="0"/>
          <w:szCs w:val="21"/>
          <w:u w:val="single"/>
          <w:lang w:eastAsia="zh-CN"/>
        </w:rPr>
        <w:t>）</w:t>
      </w:r>
      <w:r>
        <w:rPr>
          <w:rFonts w:hint="eastAsia" w:ascii="宋体" w:hAnsi="宋体" w:cs="宋体"/>
          <w:color w:val="auto"/>
          <w:spacing w:val="0"/>
          <w:szCs w:val="21"/>
        </w:rPr>
        <w:t>（采购项目编号：</w:t>
      </w:r>
      <w:r>
        <w:rPr>
          <w:rFonts w:hint="eastAsia" w:ascii="宋体" w:hAnsi="宋体" w:eastAsia="宋体" w:cs="宋体"/>
          <w:color w:val="auto"/>
          <w:spacing w:val="0"/>
          <w:sz w:val="21"/>
          <w:szCs w:val="21"/>
          <w:u w:val="single"/>
          <w:lang w:val="en-US" w:eastAsia="zh-CN"/>
        </w:rPr>
        <w:t xml:space="preserve">           </w:t>
      </w:r>
      <w:r>
        <w:rPr>
          <w:rFonts w:hint="eastAsia" w:ascii="宋体" w:hAnsi="宋体" w:cs="宋体"/>
          <w:color w:val="auto"/>
          <w:spacing w:val="0"/>
          <w:szCs w:val="21"/>
        </w:rPr>
        <w:t>）的招标文件、投标文件等有关规定，为确保甲方采购项目的顺利实施，甲、乙双方在平等自愿原则下签订本合同，并共同遵守如下条款：</w:t>
      </w:r>
    </w:p>
    <w:p w14:paraId="412C6E71">
      <w:pPr>
        <w:pStyle w:val="9"/>
        <w:spacing w:line="360" w:lineRule="auto"/>
        <w:ind w:firstLine="423" w:firstLineChars="176"/>
        <w:outlineLvl w:val="9"/>
        <w:rPr>
          <w:rFonts w:ascii="宋体" w:hAnsi="宋体"/>
          <w:b/>
          <w:color w:val="auto"/>
          <w:spacing w:val="0"/>
        </w:rPr>
      </w:pPr>
      <w:r>
        <w:rPr>
          <w:rFonts w:hint="eastAsia" w:ascii="宋体" w:hAnsi="宋体"/>
          <w:b/>
          <w:color w:val="auto"/>
          <w:spacing w:val="0"/>
        </w:rPr>
        <w:t>第一条 合同标的及数量</w:t>
      </w:r>
    </w:p>
    <w:p w14:paraId="5874896E">
      <w:pPr>
        <w:spacing w:line="360" w:lineRule="auto"/>
        <w:ind w:firstLine="420" w:firstLineChars="200"/>
        <w:outlineLvl w:val="9"/>
        <w:rPr>
          <w:rFonts w:ascii="宋体" w:hAnsi="宋体" w:cs="宋体"/>
          <w:b/>
          <w:color w:val="auto"/>
          <w:spacing w:val="0"/>
          <w:szCs w:val="21"/>
        </w:rPr>
      </w:pPr>
      <w:r>
        <w:rPr>
          <w:rFonts w:hint="eastAsia" w:ascii="宋体" w:hAnsi="宋体" w:cs="宋体"/>
          <w:color w:val="auto"/>
          <w:spacing w:val="0"/>
          <w:szCs w:val="21"/>
        </w:rPr>
        <w:t>乙方向甲方提供下列货物（产品）：</w:t>
      </w:r>
    </w:p>
    <w:p w14:paraId="65B0475A">
      <w:pPr>
        <w:jc w:val="center"/>
        <w:outlineLvl w:val="9"/>
        <w:rPr>
          <w:rFonts w:ascii="宋体" w:hAnsi="宋体" w:cs="宋体"/>
          <w:b/>
          <w:color w:val="auto"/>
          <w:spacing w:val="0"/>
          <w:sz w:val="32"/>
        </w:rPr>
      </w:pPr>
      <w:r>
        <w:rPr>
          <w:rFonts w:hint="eastAsia" w:ascii="宋体" w:hAnsi="宋体" w:cs="宋体"/>
          <w:b/>
          <w:color w:val="auto"/>
          <w:spacing w:val="0"/>
          <w:sz w:val="32"/>
        </w:rPr>
        <w:t>供货一览表</w:t>
      </w:r>
    </w:p>
    <w:tbl>
      <w:tblPr>
        <w:tblStyle w:val="7"/>
        <w:tblpPr w:leftFromText="180" w:rightFromText="180" w:vertAnchor="text" w:horzAnchor="margin" w:tblpY="309"/>
        <w:tblW w:w="860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64"/>
        <w:gridCol w:w="1604"/>
        <w:gridCol w:w="1552"/>
        <w:gridCol w:w="706"/>
        <w:gridCol w:w="892"/>
        <w:gridCol w:w="1189"/>
        <w:gridCol w:w="1092"/>
        <w:gridCol w:w="1005"/>
      </w:tblGrid>
      <w:tr w14:paraId="45FE53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6" w:hRule="atLeast"/>
        </w:trPr>
        <w:tc>
          <w:tcPr>
            <w:tcW w:w="564" w:type="dxa"/>
            <w:vAlign w:val="center"/>
          </w:tcPr>
          <w:p w14:paraId="35B90832">
            <w:pPr>
              <w:jc w:val="center"/>
              <w:outlineLvl w:val="9"/>
              <w:rPr>
                <w:rFonts w:ascii="宋体" w:hAnsi="宋体" w:cs="宋体"/>
                <w:color w:val="auto"/>
                <w:spacing w:val="0"/>
                <w:szCs w:val="21"/>
              </w:rPr>
            </w:pPr>
            <w:r>
              <w:rPr>
                <w:rFonts w:hint="eastAsia" w:ascii="宋体" w:hAnsi="宋体" w:cs="宋体"/>
                <w:color w:val="auto"/>
                <w:spacing w:val="0"/>
                <w:szCs w:val="21"/>
              </w:rPr>
              <w:t>序号</w:t>
            </w:r>
          </w:p>
        </w:tc>
        <w:tc>
          <w:tcPr>
            <w:tcW w:w="1604" w:type="dxa"/>
            <w:vAlign w:val="center"/>
          </w:tcPr>
          <w:p w14:paraId="7DF187C3">
            <w:pPr>
              <w:jc w:val="center"/>
              <w:outlineLvl w:val="9"/>
              <w:rPr>
                <w:rFonts w:ascii="宋体" w:hAnsi="宋体" w:cs="宋体"/>
                <w:color w:val="auto"/>
                <w:spacing w:val="0"/>
                <w:szCs w:val="21"/>
              </w:rPr>
            </w:pPr>
            <w:r>
              <w:rPr>
                <w:rFonts w:hint="eastAsia" w:ascii="宋体" w:hAnsi="宋体" w:cs="宋体"/>
                <w:color w:val="auto"/>
                <w:spacing w:val="0"/>
                <w:szCs w:val="21"/>
              </w:rPr>
              <w:t>货物名称</w:t>
            </w:r>
          </w:p>
        </w:tc>
        <w:tc>
          <w:tcPr>
            <w:tcW w:w="1552" w:type="dxa"/>
            <w:vAlign w:val="center"/>
          </w:tcPr>
          <w:p w14:paraId="55D85D2D">
            <w:pPr>
              <w:jc w:val="center"/>
              <w:outlineLvl w:val="9"/>
              <w:rPr>
                <w:rFonts w:ascii="宋体" w:hAnsi="宋体" w:cs="宋体"/>
                <w:color w:val="auto"/>
                <w:spacing w:val="0"/>
                <w:szCs w:val="21"/>
              </w:rPr>
            </w:pPr>
            <w:r>
              <w:rPr>
                <w:rFonts w:hint="eastAsia" w:ascii="宋体" w:hAnsi="宋体" w:cs="宋体"/>
                <w:color w:val="auto"/>
                <w:spacing w:val="0"/>
                <w:szCs w:val="21"/>
              </w:rPr>
              <w:t>品牌/型号</w:t>
            </w:r>
          </w:p>
        </w:tc>
        <w:tc>
          <w:tcPr>
            <w:tcW w:w="706" w:type="dxa"/>
            <w:vAlign w:val="center"/>
          </w:tcPr>
          <w:p w14:paraId="2E737A99">
            <w:pPr>
              <w:jc w:val="center"/>
              <w:outlineLvl w:val="9"/>
              <w:rPr>
                <w:rFonts w:ascii="宋体" w:hAnsi="宋体" w:cs="宋体"/>
                <w:color w:val="auto"/>
                <w:spacing w:val="0"/>
                <w:szCs w:val="21"/>
              </w:rPr>
            </w:pPr>
            <w:r>
              <w:rPr>
                <w:rFonts w:hint="eastAsia" w:ascii="宋体" w:hAnsi="宋体" w:cs="宋体"/>
                <w:color w:val="auto"/>
                <w:spacing w:val="0"/>
                <w:szCs w:val="21"/>
              </w:rPr>
              <w:t>规格</w:t>
            </w:r>
          </w:p>
        </w:tc>
        <w:tc>
          <w:tcPr>
            <w:tcW w:w="892" w:type="dxa"/>
            <w:vAlign w:val="center"/>
          </w:tcPr>
          <w:p w14:paraId="4EE9872F">
            <w:pPr>
              <w:jc w:val="center"/>
              <w:outlineLvl w:val="9"/>
              <w:rPr>
                <w:rFonts w:ascii="宋体" w:hAnsi="宋体" w:cs="宋体"/>
                <w:color w:val="auto"/>
                <w:spacing w:val="0"/>
                <w:szCs w:val="21"/>
              </w:rPr>
            </w:pPr>
            <w:r>
              <w:rPr>
                <w:rFonts w:hint="eastAsia" w:ascii="宋体" w:hAnsi="宋体" w:cs="宋体"/>
                <w:color w:val="auto"/>
                <w:spacing w:val="0"/>
                <w:szCs w:val="21"/>
              </w:rPr>
              <w:t>计量</w:t>
            </w:r>
          </w:p>
          <w:p w14:paraId="29D520D4">
            <w:pPr>
              <w:jc w:val="center"/>
              <w:outlineLvl w:val="9"/>
              <w:rPr>
                <w:rFonts w:ascii="宋体" w:hAnsi="宋体" w:cs="宋体"/>
                <w:color w:val="auto"/>
                <w:spacing w:val="0"/>
                <w:szCs w:val="21"/>
              </w:rPr>
            </w:pPr>
            <w:r>
              <w:rPr>
                <w:rFonts w:hint="eastAsia" w:ascii="宋体" w:hAnsi="宋体" w:cs="宋体"/>
                <w:color w:val="auto"/>
                <w:spacing w:val="0"/>
                <w:szCs w:val="21"/>
              </w:rPr>
              <w:t>单位</w:t>
            </w:r>
          </w:p>
        </w:tc>
        <w:tc>
          <w:tcPr>
            <w:tcW w:w="1189" w:type="dxa"/>
            <w:tcBorders>
              <w:bottom w:val="single" w:color="auto" w:sz="4" w:space="0"/>
            </w:tcBorders>
            <w:vAlign w:val="center"/>
          </w:tcPr>
          <w:p w14:paraId="7FB1A1F2">
            <w:pPr>
              <w:jc w:val="center"/>
              <w:outlineLvl w:val="9"/>
              <w:rPr>
                <w:rFonts w:ascii="宋体" w:hAnsi="宋体" w:cs="宋体"/>
                <w:color w:val="auto"/>
                <w:spacing w:val="0"/>
                <w:szCs w:val="21"/>
              </w:rPr>
            </w:pPr>
            <w:r>
              <w:rPr>
                <w:rFonts w:hint="eastAsia" w:ascii="宋体" w:hAnsi="宋体" w:cs="宋体"/>
                <w:color w:val="auto"/>
                <w:spacing w:val="0"/>
                <w:szCs w:val="21"/>
              </w:rPr>
              <w:t>数量</w:t>
            </w:r>
          </w:p>
        </w:tc>
        <w:tc>
          <w:tcPr>
            <w:tcW w:w="1092" w:type="dxa"/>
            <w:vAlign w:val="center"/>
          </w:tcPr>
          <w:p w14:paraId="622374FA">
            <w:pPr>
              <w:jc w:val="center"/>
              <w:outlineLvl w:val="9"/>
              <w:rPr>
                <w:rFonts w:hint="eastAsia" w:ascii="宋体" w:hAnsi="宋体" w:cs="宋体"/>
                <w:color w:val="auto"/>
                <w:spacing w:val="0"/>
                <w:szCs w:val="21"/>
              </w:rPr>
            </w:pPr>
            <w:r>
              <w:rPr>
                <w:rFonts w:hint="eastAsia" w:ascii="宋体" w:hAnsi="宋体" w:cs="宋体"/>
                <w:color w:val="auto"/>
                <w:spacing w:val="0"/>
                <w:szCs w:val="21"/>
              </w:rPr>
              <w:t>单价</w:t>
            </w:r>
          </w:p>
          <w:p w14:paraId="343F1025">
            <w:pPr>
              <w:jc w:val="center"/>
              <w:outlineLvl w:val="9"/>
              <w:rPr>
                <w:rFonts w:ascii="宋体" w:hAnsi="宋体" w:cs="宋体"/>
                <w:color w:val="auto"/>
                <w:spacing w:val="0"/>
                <w:szCs w:val="21"/>
              </w:rPr>
            </w:pPr>
            <w:r>
              <w:rPr>
                <w:rFonts w:hint="eastAsia" w:ascii="宋体" w:hAnsi="宋体" w:cs="宋体"/>
                <w:color w:val="auto"/>
                <w:spacing w:val="0"/>
                <w:szCs w:val="21"/>
              </w:rPr>
              <w:t>（元）</w:t>
            </w:r>
          </w:p>
        </w:tc>
        <w:tc>
          <w:tcPr>
            <w:tcW w:w="1005" w:type="dxa"/>
            <w:vAlign w:val="center"/>
          </w:tcPr>
          <w:p w14:paraId="44565A40">
            <w:pPr>
              <w:jc w:val="center"/>
              <w:outlineLvl w:val="9"/>
              <w:rPr>
                <w:rFonts w:hint="eastAsia" w:ascii="宋体" w:hAnsi="宋体" w:cs="宋体"/>
                <w:color w:val="auto"/>
                <w:spacing w:val="0"/>
                <w:szCs w:val="21"/>
              </w:rPr>
            </w:pPr>
            <w:r>
              <w:rPr>
                <w:rFonts w:hint="eastAsia" w:ascii="宋体" w:hAnsi="宋体" w:cs="宋体"/>
                <w:color w:val="auto"/>
                <w:spacing w:val="0"/>
                <w:szCs w:val="21"/>
              </w:rPr>
              <w:t>金额</w:t>
            </w:r>
          </w:p>
          <w:p w14:paraId="53AF75C3">
            <w:pPr>
              <w:jc w:val="center"/>
              <w:outlineLvl w:val="9"/>
              <w:rPr>
                <w:rFonts w:ascii="宋体" w:hAnsi="宋体" w:cs="宋体"/>
                <w:color w:val="auto"/>
                <w:spacing w:val="0"/>
                <w:szCs w:val="21"/>
              </w:rPr>
            </w:pPr>
            <w:r>
              <w:rPr>
                <w:rFonts w:hint="eastAsia" w:ascii="宋体" w:hAnsi="宋体" w:cs="宋体"/>
                <w:color w:val="auto"/>
                <w:spacing w:val="0"/>
                <w:szCs w:val="21"/>
              </w:rPr>
              <w:t>(元)</w:t>
            </w:r>
          </w:p>
        </w:tc>
      </w:tr>
      <w:tr w14:paraId="428A59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64" w:type="dxa"/>
            <w:vAlign w:val="center"/>
          </w:tcPr>
          <w:p w14:paraId="05F0FA6A">
            <w:pPr>
              <w:jc w:val="center"/>
              <w:outlineLvl w:val="9"/>
              <w:rPr>
                <w:rFonts w:ascii="宋体" w:hAnsi="宋体" w:cs="宋体"/>
                <w:color w:val="auto"/>
                <w:spacing w:val="0"/>
                <w:sz w:val="24"/>
              </w:rPr>
            </w:pPr>
          </w:p>
        </w:tc>
        <w:tc>
          <w:tcPr>
            <w:tcW w:w="1604" w:type="dxa"/>
            <w:vAlign w:val="center"/>
          </w:tcPr>
          <w:p w14:paraId="701DD3D3">
            <w:pPr>
              <w:jc w:val="center"/>
              <w:outlineLvl w:val="9"/>
              <w:rPr>
                <w:rFonts w:ascii="宋体" w:hAnsi="宋体" w:cs="宋体"/>
                <w:color w:val="auto"/>
                <w:spacing w:val="0"/>
                <w:sz w:val="24"/>
              </w:rPr>
            </w:pPr>
          </w:p>
        </w:tc>
        <w:tc>
          <w:tcPr>
            <w:tcW w:w="1552" w:type="dxa"/>
            <w:vAlign w:val="center"/>
          </w:tcPr>
          <w:p w14:paraId="678117C0">
            <w:pPr>
              <w:jc w:val="center"/>
              <w:outlineLvl w:val="9"/>
              <w:rPr>
                <w:rFonts w:ascii="宋体" w:hAnsi="宋体" w:cs="宋体"/>
                <w:color w:val="auto"/>
                <w:spacing w:val="0"/>
                <w:sz w:val="24"/>
              </w:rPr>
            </w:pPr>
          </w:p>
        </w:tc>
        <w:tc>
          <w:tcPr>
            <w:tcW w:w="706" w:type="dxa"/>
            <w:vAlign w:val="center"/>
          </w:tcPr>
          <w:p w14:paraId="2D9E5A44">
            <w:pPr>
              <w:jc w:val="center"/>
              <w:outlineLvl w:val="9"/>
              <w:rPr>
                <w:rFonts w:ascii="宋体" w:hAnsi="宋体" w:cs="宋体"/>
                <w:color w:val="auto"/>
                <w:spacing w:val="0"/>
                <w:sz w:val="24"/>
              </w:rPr>
            </w:pPr>
          </w:p>
        </w:tc>
        <w:tc>
          <w:tcPr>
            <w:tcW w:w="892" w:type="dxa"/>
            <w:tcBorders>
              <w:right w:val="single" w:color="auto" w:sz="4" w:space="0"/>
            </w:tcBorders>
            <w:vAlign w:val="center"/>
          </w:tcPr>
          <w:p w14:paraId="4F8170C9">
            <w:pPr>
              <w:jc w:val="center"/>
              <w:outlineLvl w:val="9"/>
              <w:rPr>
                <w:rFonts w:ascii="宋体" w:hAnsi="宋体" w:cs="宋体"/>
                <w:color w:val="auto"/>
                <w:spacing w:val="0"/>
                <w:sz w:val="24"/>
              </w:rPr>
            </w:pPr>
          </w:p>
        </w:tc>
        <w:tc>
          <w:tcPr>
            <w:tcW w:w="1189" w:type="dxa"/>
            <w:tcBorders>
              <w:top w:val="single" w:color="auto" w:sz="4" w:space="0"/>
              <w:left w:val="single" w:color="auto" w:sz="4" w:space="0"/>
              <w:bottom w:val="single" w:color="auto" w:sz="4" w:space="0"/>
              <w:right w:val="single" w:color="auto" w:sz="4" w:space="0"/>
            </w:tcBorders>
            <w:vAlign w:val="center"/>
          </w:tcPr>
          <w:p w14:paraId="03ED2357">
            <w:pPr>
              <w:jc w:val="center"/>
              <w:outlineLvl w:val="9"/>
              <w:rPr>
                <w:rFonts w:ascii="宋体" w:hAnsi="宋体" w:cs="宋体"/>
                <w:color w:val="auto"/>
                <w:spacing w:val="0"/>
                <w:sz w:val="24"/>
              </w:rPr>
            </w:pPr>
          </w:p>
        </w:tc>
        <w:tc>
          <w:tcPr>
            <w:tcW w:w="1092" w:type="dxa"/>
            <w:tcBorders>
              <w:left w:val="single" w:color="auto" w:sz="4" w:space="0"/>
            </w:tcBorders>
            <w:vAlign w:val="center"/>
          </w:tcPr>
          <w:p w14:paraId="2EA854D9">
            <w:pPr>
              <w:jc w:val="center"/>
              <w:outlineLvl w:val="9"/>
              <w:rPr>
                <w:rFonts w:ascii="宋体" w:hAnsi="宋体" w:cs="宋体"/>
                <w:color w:val="auto"/>
                <w:spacing w:val="0"/>
                <w:sz w:val="24"/>
              </w:rPr>
            </w:pPr>
          </w:p>
        </w:tc>
        <w:tc>
          <w:tcPr>
            <w:tcW w:w="1005" w:type="dxa"/>
            <w:vAlign w:val="center"/>
          </w:tcPr>
          <w:p w14:paraId="29F9F0C9">
            <w:pPr>
              <w:jc w:val="center"/>
              <w:outlineLvl w:val="9"/>
              <w:rPr>
                <w:rFonts w:ascii="宋体" w:hAnsi="宋体" w:cs="宋体"/>
                <w:color w:val="auto"/>
                <w:spacing w:val="0"/>
                <w:sz w:val="24"/>
              </w:rPr>
            </w:pPr>
          </w:p>
        </w:tc>
      </w:tr>
      <w:tr w14:paraId="492224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64" w:type="dxa"/>
            <w:vAlign w:val="center"/>
          </w:tcPr>
          <w:p w14:paraId="492CF4E7">
            <w:pPr>
              <w:jc w:val="center"/>
              <w:outlineLvl w:val="9"/>
              <w:rPr>
                <w:rFonts w:ascii="宋体" w:hAnsi="宋体" w:cs="宋体"/>
                <w:color w:val="auto"/>
                <w:spacing w:val="0"/>
                <w:sz w:val="24"/>
              </w:rPr>
            </w:pPr>
          </w:p>
        </w:tc>
        <w:tc>
          <w:tcPr>
            <w:tcW w:w="1604" w:type="dxa"/>
            <w:vAlign w:val="center"/>
          </w:tcPr>
          <w:p w14:paraId="30BC8952">
            <w:pPr>
              <w:jc w:val="center"/>
              <w:outlineLvl w:val="9"/>
              <w:rPr>
                <w:rFonts w:ascii="宋体" w:hAnsi="宋体" w:cs="宋体"/>
                <w:color w:val="auto"/>
                <w:spacing w:val="0"/>
                <w:sz w:val="24"/>
              </w:rPr>
            </w:pPr>
          </w:p>
        </w:tc>
        <w:tc>
          <w:tcPr>
            <w:tcW w:w="1552" w:type="dxa"/>
            <w:vAlign w:val="center"/>
          </w:tcPr>
          <w:p w14:paraId="5C4A4414">
            <w:pPr>
              <w:jc w:val="center"/>
              <w:outlineLvl w:val="9"/>
              <w:rPr>
                <w:rFonts w:ascii="宋体" w:hAnsi="宋体" w:cs="宋体"/>
                <w:color w:val="auto"/>
                <w:spacing w:val="0"/>
                <w:sz w:val="24"/>
              </w:rPr>
            </w:pPr>
          </w:p>
        </w:tc>
        <w:tc>
          <w:tcPr>
            <w:tcW w:w="706" w:type="dxa"/>
            <w:vAlign w:val="center"/>
          </w:tcPr>
          <w:p w14:paraId="4A1C6A3F">
            <w:pPr>
              <w:jc w:val="center"/>
              <w:outlineLvl w:val="9"/>
              <w:rPr>
                <w:rFonts w:ascii="宋体" w:hAnsi="宋体" w:cs="宋体"/>
                <w:color w:val="auto"/>
                <w:spacing w:val="0"/>
                <w:sz w:val="24"/>
              </w:rPr>
            </w:pPr>
          </w:p>
        </w:tc>
        <w:tc>
          <w:tcPr>
            <w:tcW w:w="892" w:type="dxa"/>
            <w:tcBorders>
              <w:right w:val="single" w:color="auto" w:sz="4" w:space="0"/>
            </w:tcBorders>
            <w:vAlign w:val="center"/>
          </w:tcPr>
          <w:p w14:paraId="2A04E592">
            <w:pPr>
              <w:jc w:val="center"/>
              <w:outlineLvl w:val="9"/>
              <w:rPr>
                <w:rFonts w:ascii="宋体" w:hAnsi="宋体" w:cs="宋体"/>
                <w:color w:val="auto"/>
                <w:spacing w:val="0"/>
                <w:sz w:val="24"/>
              </w:rPr>
            </w:pPr>
          </w:p>
        </w:tc>
        <w:tc>
          <w:tcPr>
            <w:tcW w:w="1189" w:type="dxa"/>
            <w:tcBorders>
              <w:top w:val="single" w:color="auto" w:sz="4" w:space="0"/>
              <w:left w:val="single" w:color="auto" w:sz="4" w:space="0"/>
              <w:bottom w:val="single" w:color="auto" w:sz="4" w:space="0"/>
              <w:right w:val="single" w:color="auto" w:sz="4" w:space="0"/>
            </w:tcBorders>
            <w:vAlign w:val="center"/>
          </w:tcPr>
          <w:p w14:paraId="3AED2CFD">
            <w:pPr>
              <w:jc w:val="center"/>
              <w:outlineLvl w:val="9"/>
              <w:rPr>
                <w:rFonts w:ascii="宋体" w:hAnsi="宋体" w:cs="宋体"/>
                <w:color w:val="auto"/>
                <w:spacing w:val="0"/>
                <w:sz w:val="24"/>
              </w:rPr>
            </w:pPr>
          </w:p>
        </w:tc>
        <w:tc>
          <w:tcPr>
            <w:tcW w:w="1092" w:type="dxa"/>
            <w:tcBorders>
              <w:left w:val="single" w:color="auto" w:sz="4" w:space="0"/>
            </w:tcBorders>
            <w:vAlign w:val="center"/>
          </w:tcPr>
          <w:p w14:paraId="0268A35C">
            <w:pPr>
              <w:jc w:val="center"/>
              <w:outlineLvl w:val="9"/>
              <w:rPr>
                <w:rFonts w:ascii="宋体" w:hAnsi="宋体" w:cs="宋体"/>
                <w:color w:val="auto"/>
                <w:spacing w:val="0"/>
                <w:sz w:val="24"/>
              </w:rPr>
            </w:pPr>
          </w:p>
        </w:tc>
        <w:tc>
          <w:tcPr>
            <w:tcW w:w="1005" w:type="dxa"/>
            <w:vAlign w:val="center"/>
          </w:tcPr>
          <w:p w14:paraId="266FA9E3">
            <w:pPr>
              <w:jc w:val="center"/>
              <w:outlineLvl w:val="9"/>
              <w:rPr>
                <w:rFonts w:ascii="宋体" w:hAnsi="宋体" w:cs="宋体"/>
                <w:color w:val="auto"/>
                <w:spacing w:val="0"/>
                <w:sz w:val="24"/>
              </w:rPr>
            </w:pPr>
          </w:p>
        </w:tc>
      </w:tr>
      <w:tr w14:paraId="36DD6C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64" w:type="dxa"/>
            <w:vAlign w:val="center"/>
          </w:tcPr>
          <w:p w14:paraId="14B5F530">
            <w:pPr>
              <w:jc w:val="center"/>
              <w:outlineLvl w:val="9"/>
              <w:rPr>
                <w:rFonts w:ascii="宋体" w:hAnsi="宋体" w:cs="宋体"/>
                <w:color w:val="auto"/>
                <w:spacing w:val="0"/>
                <w:sz w:val="24"/>
              </w:rPr>
            </w:pPr>
          </w:p>
        </w:tc>
        <w:tc>
          <w:tcPr>
            <w:tcW w:w="1604" w:type="dxa"/>
            <w:vAlign w:val="center"/>
          </w:tcPr>
          <w:p w14:paraId="1A41D57D">
            <w:pPr>
              <w:jc w:val="center"/>
              <w:outlineLvl w:val="9"/>
              <w:rPr>
                <w:rFonts w:ascii="宋体" w:hAnsi="宋体" w:cs="宋体"/>
                <w:color w:val="auto"/>
                <w:spacing w:val="0"/>
                <w:sz w:val="24"/>
              </w:rPr>
            </w:pPr>
          </w:p>
        </w:tc>
        <w:tc>
          <w:tcPr>
            <w:tcW w:w="1552" w:type="dxa"/>
            <w:vAlign w:val="center"/>
          </w:tcPr>
          <w:p w14:paraId="242089BB">
            <w:pPr>
              <w:jc w:val="center"/>
              <w:outlineLvl w:val="9"/>
              <w:rPr>
                <w:rFonts w:ascii="宋体" w:hAnsi="宋体" w:cs="宋体"/>
                <w:color w:val="auto"/>
                <w:spacing w:val="0"/>
                <w:sz w:val="24"/>
              </w:rPr>
            </w:pPr>
          </w:p>
        </w:tc>
        <w:tc>
          <w:tcPr>
            <w:tcW w:w="706" w:type="dxa"/>
            <w:vAlign w:val="center"/>
          </w:tcPr>
          <w:p w14:paraId="7C6804EC">
            <w:pPr>
              <w:jc w:val="center"/>
              <w:outlineLvl w:val="9"/>
              <w:rPr>
                <w:rFonts w:ascii="宋体" w:hAnsi="宋体" w:cs="宋体"/>
                <w:color w:val="auto"/>
                <w:spacing w:val="0"/>
                <w:sz w:val="24"/>
              </w:rPr>
            </w:pPr>
          </w:p>
        </w:tc>
        <w:tc>
          <w:tcPr>
            <w:tcW w:w="892" w:type="dxa"/>
            <w:tcBorders>
              <w:right w:val="single" w:color="auto" w:sz="4" w:space="0"/>
            </w:tcBorders>
            <w:vAlign w:val="center"/>
          </w:tcPr>
          <w:p w14:paraId="36D7F609">
            <w:pPr>
              <w:jc w:val="center"/>
              <w:outlineLvl w:val="9"/>
              <w:rPr>
                <w:rFonts w:ascii="宋体" w:hAnsi="宋体" w:cs="宋体"/>
                <w:color w:val="auto"/>
                <w:spacing w:val="0"/>
                <w:sz w:val="24"/>
              </w:rPr>
            </w:pPr>
          </w:p>
        </w:tc>
        <w:tc>
          <w:tcPr>
            <w:tcW w:w="1189" w:type="dxa"/>
            <w:tcBorders>
              <w:top w:val="single" w:color="auto" w:sz="4" w:space="0"/>
              <w:left w:val="single" w:color="auto" w:sz="4" w:space="0"/>
              <w:bottom w:val="single" w:color="auto" w:sz="4" w:space="0"/>
              <w:right w:val="single" w:color="auto" w:sz="4" w:space="0"/>
            </w:tcBorders>
            <w:vAlign w:val="center"/>
          </w:tcPr>
          <w:p w14:paraId="552140C1">
            <w:pPr>
              <w:jc w:val="center"/>
              <w:outlineLvl w:val="9"/>
              <w:rPr>
                <w:rFonts w:ascii="宋体" w:hAnsi="宋体" w:cs="宋体"/>
                <w:color w:val="auto"/>
                <w:spacing w:val="0"/>
                <w:sz w:val="24"/>
              </w:rPr>
            </w:pPr>
          </w:p>
        </w:tc>
        <w:tc>
          <w:tcPr>
            <w:tcW w:w="1092" w:type="dxa"/>
            <w:tcBorders>
              <w:left w:val="single" w:color="auto" w:sz="4" w:space="0"/>
            </w:tcBorders>
            <w:vAlign w:val="center"/>
          </w:tcPr>
          <w:p w14:paraId="026C7055">
            <w:pPr>
              <w:jc w:val="center"/>
              <w:outlineLvl w:val="9"/>
              <w:rPr>
                <w:rFonts w:ascii="宋体" w:hAnsi="宋体" w:cs="宋体"/>
                <w:color w:val="auto"/>
                <w:spacing w:val="0"/>
                <w:sz w:val="24"/>
              </w:rPr>
            </w:pPr>
          </w:p>
        </w:tc>
        <w:tc>
          <w:tcPr>
            <w:tcW w:w="1005" w:type="dxa"/>
            <w:vAlign w:val="center"/>
          </w:tcPr>
          <w:p w14:paraId="290CBDCE">
            <w:pPr>
              <w:jc w:val="center"/>
              <w:outlineLvl w:val="9"/>
              <w:rPr>
                <w:rFonts w:ascii="宋体" w:hAnsi="宋体" w:cs="宋体"/>
                <w:color w:val="auto"/>
                <w:spacing w:val="0"/>
                <w:sz w:val="24"/>
              </w:rPr>
            </w:pPr>
          </w:p>
        </w:tc>
      </w:tr>
      <w:tr w14:paraId="352D56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64" w:type="dxa"/>
            <w:vAlign w:val="center"/>
          </w:tcPr>
          <w:p w14:paraId="4AF5E4C5">
            <w:pPr>
              <w:jc w:val="center"/>
              <w:outlineLvl w:val="9"/>
              <w:rPr>
                <w:rFonts w:ascii="宋体" w:hAnsi="宋体" w:cs="宋体"/>
                <w:color w:val="auto"/>
                <w:spacing w:val="0"/>
                <w:sz w:val="24"/>
              </w:rPr>
            </w:pPr>
          </w:p>
        </w:tc>
        <w:tc>
          <w:tcPr>
            <w:tcW w:w="1604" w:type="dxa"/>
            <w:vAlign w:val="center"/>
          </w:tcPr>
          <w:p w14:paraId="34DB5882">
            <w:pPr>
              <w:jc w:val="center"/>
              <w:outlineLvl w:val="9"/>
              <w:rPr>
                <w:rFonts w:ascii="宋体" w:hAnsi="宋体" w:cs="宋体"/>
                <w:color w:val="auto"/>
                <w:spacing w:val="0"/>
                <w:sz w:val="24"/>
              </w:rPr>
            </w:pPr>
          </w:p>
        </w:tc>
        <w:tc>
          <w:tcPr>
            <w:tcW w:w="1552" w:type="dxa"/>
            <w:vAlign w:val="center"/>
          </w:tcPr>
          <w:p w14:paraId="5BB54BA8">
            <w:pPr>
              <w:jc w:val="center"/>
              <w:outlineLvl w:val="9"/>
              <w:rPr>
                <w:rFonts w:ascii="宋体" w:hAnsi="宋体" w:cs="宋体"/>
                <w:color w:val="auto"/>
                <w:spacing w:val="0"/>
                <w:sz w:val="24"/>
              </w:rPr>
            </w:pPr>
          </w:p>
        </w:tc>
        <w:tc>
          <w:tcPr>
            <w:tcW w:w="706" w:type="dxa"/>
            <w:vAlign w:val="center"/>
          </w:tcPr>
          <w:p w14:paraId="78AC8687">
            <w:pPr>
              <w:jc w:val="center"/>
              <w:outlineLvl w:val="9"/>
              <w:rPr>
                <w:rFonts w:ascii="宋体" w:hAnsi="宋体" w:cs="宋体"/>
                <w:color w:val="auto"/>
                <w:spacing w:val="0"/>
                <w:sz w:val="24"/>
              </w:rPr>
            </w:pPr>
          </w:p>
        </w:tc>
        <w:tc>
          <w:tcPr>
            <w:tcW w:w="892" w:type="dxa"/>
            <w:tcBorders>
              <w:right w:val="single" w:color="auto" w:sz="4" w:space="0"/>
            </w:tcBorders>
            <w:vAlign w:val="center"/>
          </w:tcPr>
          <w:p w14:paraId="151E498E">
            <w:pPr>
              <w:jc w:val="center"/>
              <w:outlineLvl w:val="9"/>
              <w:rPr>
                <w:rFonts w:ascii="宋体" w:hAnsi="宋体" w:cs="宋体"/>
                <w:color w:val="auto"/>
                <w:spacing w:val="0"/>
                <w:sz w:val="24"/>
              </w:rPr>
            </w:pPr>
          </w:p>
        </w:tc>
        <w:tc>
          <w:tcPr>
            <w:tcW w:w="1189" w:type="dxa"/>
            <w:tcBorders>
              <w:top w:val="single" w:color="auto" w:sz="4" w:space="0"/>
              <w:left w:val="single" w:color="auto" w:sz="4" w:space="0"/>
              <w:bottom w:val="single" w:color="auto" w:sz="4" w:space="0"/>
              <w:right w:val="single" w:color="auto" w:sz="4" w:space="0"/>
            </w:tcBorders>
            <w:vAlign w:val="center"/>
          </w:tcPr>
          <w:p w14:paraId="7F9271C8">
            <w:pPr>
              <w:jc w:val="center"/>
              <w:outlineLvl w:val="9"/>
              <w:rPr>
                <w:rFonts w:ascii="宋体" w:hAnsi="宋体" w:cs="宋体"/>
                <w:color w:val="auto"/>
                <w:spacing w:val="0"/>
                <w:sz w:val="24"/>
              </w:rPr>
            </w:pPr>
          </w:p>
        </w:tc>
        <w:tc>
          <w:tcPr>
            <w:tcW w:w="1092" w:type="dxa"/>
            <w:tcBorders>
              <w:left w:val="single" w:color="auto" w:sz="4" w:space="0"/>
            </w:tcBorders>
            <w:vAlign w:val="center"/>
          </w:tcPr>
          <w:p w14:paraId="6BA387FF">
            <w:pPr>
              <w:jc w:val="center"/>
              <w:outlineLvl w:val="9"/>
              <w:rPr>
                <w:rFonts w:ascii="宋体" w:hAnsi="宋体" w:cs="宋体"/>
                <w:color w:val="auto"/>
                <w:spacing w:val="0"/>
                <w:sz w:val="24"/>
              </w:rPr>
            </w:pPr>
          </w:p>
        </w:tc>
        <w:tc>
          <w:tcPr>
            <w:tcW w:w="1005" w:type="dxa"/>
            <w:vAlign w:val="center"/>
          </w:tcPr>
          <w:p w14:paraId="201F68DB">
            <w:pPr>
              <w:jc w:val="center"/>
              <w:outlineLvl w:val="9"/>
              <w:rPr>
                <w:rFonts w:ascii="宋体" w:hAnsi="宋体" w:cs="宋体"/>
                <w:color w:val="auto"/>
                <w:spacing w:val="0"/>
                <w:sz w:val="24"/>
              </w:rPr>
            </w:pPr>
          </w:p>
        </w:tc>
      </w:tr>
      <w:tr w14:paraId="6B6186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564" w:type="dxa"/>
            <w:tcBorders>
              <w:bottom w:val="single" w:color="auto" w:sz="12" w:space="0"/>
            </w:tcBorders>
          </w:tcPr>
          <w:p w14:paraId="5BA16ACF">
            <w:pPr>
              <w:outlineLvl w:val="9"/>
              <w:rPr>
                <w:rFonts w:ascii="宋体" w:hAnsi="宋体" w:cs="宋体"/>
                <w:color w:val="auto"/>
                <w:spacing w:val="0"/>
                <w:sz w:val="24"/>
              </w:rPr>
            </w:pPr>
          </w:p>
        </w:tc>
        <w:tc>
          <w:tcPr>
            <w:tcW w:w="1604" w:type="dxa"/>
            <w:tcBorders>
              <w:bottom w:val="single" w:color="auto" w:sz="12" w:space="0"/>
            </w:tcBorders>
            <w:vAlign w:val="center"/>
          </w:tcPr>
          <w:p w14:paraId="0171DD17">
            <w:pPr>
              <w:jc w:val="center"/>
              <w:outlineLvl w:val="9"/>
              <w:rPr>
                <w:rFonts w:ascii="宋体" w:hAnsi="宋体" w:cs="宋体"/>
                <w:color w:val="auto"/>
                <w:spacing w:val="0"/>
                <w:sz w:val="24"/>
              </w:rPr>
            </w:pPr>
            <w:r>
              <w:rPr>
                <w:rFonts w:hint="eastAsia" w:ascii="宋体" w:hAnsi="宋体" w:cs="宋体"/>
                <w:color w:val="auto"/>
                <w:spacing w:val="0"/>
                <w:szCs w:val="21"/>
              </w:rPr>
              <w:t>合计</w:t>
            </w:r>
          </w:p>
        </w:tc>
        <w:tc>
          <w:tcPr>
            <w:tcW w:w="4339" w:type="dxa"/>
            <w:gridSpan w:val="4"/>
            <w:tcBorders>
              <w:bottom w:val="single" w:color="auto" w:sz="12" w:space="0"/>
              <w:right w:val="single" w:color="auto" w:sz="4" w:space="0"/>
            </w:tcBorders>
            <w:vAlign w:val="center"/>
          </w:tcPr>
          <w:p w14:paraId="6E23B21B">
            <w:pPr>
              <w:outlineLvl w:val="9"/>
              <w:rPr>
                <w:rFonts w:ascii="宋体" w:hAnsi="宋体" w:cs="宋体"/>
                <w:color w:val="auto"/>
                <w:spacing w:val="0"/>
                <w:sz w:val="24"/>
              </w:rPr>
            </w:pPr>
            <w:r>
              <w:rPr>
                <w:rFonts w:hint="eastAsia" w:ascii="宋体" w:hAnsi="宋体" w:cs="宋体"/>
                <w:color w:val="auto"/>
                <w:spacing w:val="0"/>
                <w:szCs w:val="21"/>
              </w:rPr>
              <w:t xml:space="preserve">  大写</w:t>
            </w:r>
          </w:p>
        </w:tc>
        <w:tc>
          <w:tcPr>
            <w:tcW w:w="2097" w:type="dxa"/>
            <w:gridSpan w:val="2"/>
            <w:tcBorders>
              <w:top w:val="single" w:color="auto" w:sz="4" w:space="0"/>
              <w:left w:val="single" w:color="auto" w:sz="4" w:space="0"/>
              <w:bottom w:val="single" w:color="auto" w:sz="12" w:space="0"/>
            </w:tcBorders>
            <w:vAlign w:val="center"/>
          </w:tcPr>
          <w:p w14:paraId="433C80AE">
            <w:pPr>
              <w:outlineLvl w:val="9"/>
              <w:rPr>
                <w:rFonts w:ascii="宋体" w:hAnsi="宋体" w:cs="宋体"/>
                <w:color w:val="auto"/>
                <w:spacing w:val="0"/>
                <w:sz w:val="24"/>
              </w:rPr>
            </w:pPr>
            <w:r>
              <w:rPr>
                <w:rFonts w:hint="eastAsia" w:ascii="宋体" w:hAnsi="宋体" w:cs="宋体"/>
                <w:color w:val="auto"/>
                <w:spacing w:val="0"/>
                <w:szCs w:val="21"/>
              </w:rPr>
              <w:t xml:space="preserve">   ￥</w:t>
            </w:r>
          </w:p>
        </w:tc>
      </w:tr>
    </w:tbl>
    <w:p w14:paraId="2E592752">
      <w:pPr>
        <w:pStyle w:val="9"/>
        <w:keepNext w:val="0"/>
        <w:keepLines w:val="0"/>
        <w:pageBreakBefore w:val="0"/>
        <w:widowControl/>
        <w:kinsoku w:val="0"/>
        <w:wordWrap/>
        <w:overflowPunct/>
        <w:topLinePunct w:val="0"/>
        <w:autoSpaceDE w:val="0"/>
        <w:autoSpaceDN w:val="0"/>
        <w:bidi w:val="0"/>
        <w:adjustRightInd/>
        <w:snapToGrid/>
        <w:spacing w:line="360" w:lineRule="auto"/>
        <w:ind w:firstLine="423" w:firstLineChars="176"/>
        <w:textAlignment w:val="baseline"/>
        <w:outlineLvl w:val="9"/>
        <w:rPr>
          <w:rFonts w:hint="eastAsia" w:ascii="宋体" w:hAnsi="宋体"/>
          <w:b/>
          <w:color w:val="auto"/>
          <w:spacing w:val="0"/>
        </w:rPr>
      </w:pPr>
    </w:p>
    <w:p w14:paraId="6CE83D63">
      <w:pPr>
        <w:pStyle w:val="9"/>
        <w:keepNext w:val="0"/>
        <w:keepLines w:val="0"/>
        <w:pageBreakBefore w:val="0"/>
        <w:widowControl/>
        <w:kinsoku w:val="0"/>
        <w:wordWrap/>
        <w:overflowPunct/>
        <w:topLinePunct w:val="0"/>
        <w:autoSpaceDE w:val="0"/>
        <w:autoSpaceDN w:val="0"/>
        <w:bidi w:val="0"/>
        <w:adjustRightInd/>
        <w:snapToGrid/>
        <w:spacing w:line="360" w:lineRule="auto"/>
        <w:ind w:firstLine="423" w:firstLineChars="176"/>
        <w:textAlignment w:val="baseline"/>
        <w:outlineLvl w:val="9"/>
        <w:rPr>
          <w:rFonts w:ascii="宋体" w:hAnsi="宋体"/>
          <w:b/>
          <w:color w:val="auto"/>
          <w:spacing w:val="0"/>
        </w:rPr>
      </w:pPr>
      <w:r>
        <w:rPr>
          <w:rFonts w:hint="eastAsia" w:ascii="宋体" w:hAnsi="宋体"/>
          <w:b/>
          <w:color w:val="auto"/>
          <w:spacing w:val="0"/>
        </w:rPr>
        <w:t>第二条 合同价款</w:t>
      </w:r>
    </w:p>
    <w:p w14:paraId="67E20053">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1.合同总价：人民币（大写）</w:t>
      </w:r>
      <w:r>
        <w:rPr>
          <w:rFonts w:hint="eastAsia" w:ascii="宋体" w:hAnsi="宋体" w:cs="宋体"/>
          <w:color w:val="auto"/>
          <w:spacing w:val="0"/>
          <w:szCs w:val="21"/>
          <w:u w:val="single"/>
        </w:rPr>
        <w:t xml:space="preserve">                 </w:t>
      </w:r>
      <w:r>
        <w:rPr>
          <w:rFonts w:hint="eastAsia" w:ascii="宋体" w:hAnsi="宋体" w:cs="宋体"/>
          <w:color w:val="auto"/>
          <w:spacing w:val="0"/>
          <w:szCs w:val="21"/>
        </w:rPr>
        <w:t xml:space="preserve"> 元，（￥</w:t>
      </w:r>
      <w:r>
        <w:rPr>
          <w:rFonts w:hint="eastAsia" w:ascii="宋体" w:hAnsi="宋体" w:cs="宋体"/>
          <w:color w:val="auto"/>
          <w:spacing w:val="0"/>
          <w:szCs w:val="21"/>
          <w:u w:val="single"/>
        </w:rPr>
        <w:t xml:space="preserve">           </w:t>
      </w:r>
      <w:r>
        <w:rPr>
          <w:rFonts w:hint="eastAsia" w:ascii="宋体" w:hAnsi="宋体" w:cs="宋体"/>
          <w:color w:val="auto"/>
          <w:spacing w:val="0"/>
          <w:szCs w:val="21"/>
        </w:rPr>
        <w:t xml:space="preserve"> ）。</w:t>
      </w:r>
    </w:p>
    <w:p w14:paraId="6D437438">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2.本合同总价是货物、包装、运输、交货、验收合格交付使用的含税费用。</w:t>
      </w:r>
    </w:p>
    <w:p w14:paraId="4318D42A">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3.本合同总价还包含乙方应当提供的伴随服务和售后服务费用。</w:t>
      </w:r>
    </w:p>
    <w:p w14:paraId="1EFDEEED">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4.本合同执行期间合同总价不变，甲方无须另向乙方支付本合同规定之外的其他任何费用。</w:t>
      </w:r>
      <w:bookmarkStart w:id="0" w:name="_GoBack"/>
      <w:bookmarkEnd w:id="0"/>
    </w:p>
    <w:p w14:paraId="3EC7A7CE">
      <w:pPr>
        <w:pStyle w:val="9"/>
        <w:keepNext w:val="0"/>
        <w:keepLines w:val="0"/>
        <w:pageBreakBefore w:val="0"/>
        <w:widowControl/>
        <w:kinsoku w:val="0"/>
        <w:wordWrap/>
        <w:overflowPunct/>
        <w:topLinePunct w:val="0"/>
        <w:autoSpaceDE w:val="0"/>
        <w:autoSpaceDN w:val="0"/>
        <w:bidi w:val="0"/>
        <w:adjustRightInd/>
        <w:snapToGrid/>
        <w:spacing w:line="360" w:lineRule="auto"/>
        <w:ind w:firstLine="423" w:firstLineChars="176"/>
        <w:textAlignment w:val="baseline"/>
        <w:outlineLvl w:val="9"/>
        <w:rPr>
          <w:rFonts w:ascii="宋体" w:hAnsi="宋体"/>
          <w:b/>
          <w:color w:val="auto"/>
          <w:spacing w:val="0"/>
        </w:rPr>
      </w:pPr>
      <w:r>
        <w:rPr>
          <w:rFonts w:hint="eastAsia" w:ascii="宋体" w:hAnsi="宋体"/>
          <w:b/>
          <w:color w:val="auto"/>
          <w:spacing w:val="0"/>
        </w:rPr>
        <w:t>第三条 合同款项支付</w:t>
      </w:r>
    </w:p>
    <w:p w14:paraId="2136A8CD">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lang w:val="en-US" w:eastAsia="zh-CN"/>
        </w:rPr>
        <w:t>以银行转账方式结算。所有产品供货完成，中标方需开具合法合规的有效发票给采购人，待财政资金到位后采购人一次性向中标方付清合同款项（注：本项目费用由财政拨付，如因不可抗力、政府原因或政策影响等因素导致款项未能按合同约定时效、比例支付的，甲方不承担违约责任，乙方不得以此为由拒绝履行合同约定的责任和义务）。</w:t>
      </w:r>
    </w:p>
    <w:p w14:paraId="76E2470A">
      <w:pPr>
        <w:pStyle w:val="9"/>
        <w:keepNext w:val="0"/>
        <w:keepLines w:val="0"/>
        <w:pageBreakBefore w:val="0"/>
        <w:widowControl/>
        <w:kinsoku w:val="0"/>
        <w:wordWrap/>
        <w:overflowPunct/>
        <w:topLinePunct w:val="0"/>
        <w:autoSpaceDE w:val="0"/>
        <w:autoSpaceDN w:val="0"/>
        <w:bidi w:val="0"/>
        <w:adjustRightInd/>
        <w:snapToGrid/>
        <w:spacing w:line="360" w:lineRule="auto"/>
        <w:ind w:firstLine="423" w:firstLineChars="176"/>
        <w:textAlignment w:val="baseline"/>
        <w:outlineLvl w:val="9"/>
        <w:rPr>
          <w:rFonts w:ascii="宋体" w:hAnsi="宋体"/>
          <w:b/>
          <w:color w:val="auto"/>
          <w:spacing w:val="0"/>
        </w:rPr>
      </w:pPr>
      <w:r>
        <w:rPr>
          <w:rFonts w:hint="eastAsia" w:ascii="宋体" w:hAnsi="宋体"/>
          <w:b/>
          <w:color w:val="auto"/>
          <w:spacing w:val="0"/>
        </w:rPr>
        <w:t>第四条 交货时间与地点</w:t>
      </w:r>
    </w:p>
    <w:p w14:paraId="3423CADB">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乙方在合同签订生效之日起，按甲方指定时间、地点交货。</w:t>
      </w:r>
    </w:p>
    <w:p w14:paraId="418A5EAC">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1.交货时间（交货期）：</w:t>
      </w:r>
    </w:p>
    <w:p w14:paraId="47D130CE">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自合同签订之日起</w:t>
      </w:r>
      <w:r>
        <w:rPr>
          <w:rFonts w:hint="eastAsia" w:ascii="宋体" w:hAnsi="宋体"/>
          <w:color w:val="auto"/>
          <w:spacing w:val="0"/>
          <w:szCs w:val="21"/>
          <w:u w:val="single"/>
        </w:rPr>
        <w:t xml:space="preserve">      </w:t>
      </w:r>
      <w:r>
        <w:rPr>
          <w:rFonts w:hint="eastAsia" w:ascii="宋体" w:hAnsi="宋体" w:cs="宋体"/>
          <w:color w:val="auto"/>
          <w:spacing w:val="0"/>
          <w:szCs w:val="21"/>
        </w:rPr>
        <w:t>日历天内完成。</w:t>
      </w:r>
    </w:p>
    <w:p w14:paraId="630DF373">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2.交货地点：甲方指定地点</w:t>
      </w:r>
    </w:p>
    <w:p w14:paraId="4676F38C">
      <w:pPr>
        <w:pStyle w:val="9"/>
        <w:keepNext w:val="0"/>
        <w:keepLines w:val="0"/>
        <w:pageBreakBefore w:val="0"/>
        <w:widowControl/>
        <w:kinsoku w:val="0"/>
        <w:wordWrap/>
        <w:overflowPunct/>
        <w:topLinePunct w:val="0"/>
        <w:autoSpaceDE w:val="0"/>
        <w:autoSpaceDN w:val="0"/>
        <w:bidi w:val="0"/>
        <w:adjustRightInd/>
        <w:snapToGrid/>
        <w:spacing w:line="360" w:lineRule="auto"/>
        <w:ind w:firstLine="423" w:firstLineChars="176"/>
        <w:textAlignment w:val="baseline"/>
        <w:outlineLvl w:val="9"/>
        <w:rPr>
          <w:rFonts w:ascii="宋体" w:hAnsi="宋体"/>
          <w:b/>
          <w:color w:val="auto"/>
          <w:spacing w:val="0"/>
        </w:rPr>
      </w:pPr>
      <w:r>
        <w:rPr>
          <w:rFonts w:hint="eastAsia" w:ascii="宋体" w:hAnsi="宋体"/>
          <w:b/>
          <w:color w:val="auto"/>
          <w:spacing w:val="0"/>
        </w:rPr>
        <w:t>第五条 质量保证</w:t>
      </w:r>
    </w:p>
    <w:p w14:paraId="321AAA90">
      <w:pPr>
        <w:pStyle w:val="9"/>
        <w:keepNext w:val="0"/>
        <w:keepLines w:val="0"/>
        <w:pageBreakBefore w:val="0"/>
        <w:widowControl/>
        <w:kinsoku w:val="0"/>
        <w:wordWrap/>
        <w:overflowPunct/>
        <w:topLinePunct w:val="0"/>
        <w:autoSpaceDE w:val="0"/>
        <w:autoSpaceDN w:val="0"/>
        <w:bidi w:val="0"/>
        <w:adjustRightInd/>
        <w:snapToGrid/>
        <w:spacing w:line="360" w:lineRule="auto"/>
        <w:ind w:firstLine="525" w:firstLineChars="250"/>
        <w:textAlignment w:val="baseline"/>
        <w:outlineLvl w:val="9"/>
        <w:rPr>
          <w:rFonts w:ascii="宋体" w:hAnsi="宋体"/>
          <w:color w:val="auto"/>
          <w:spacing w:val="0"/>
          <w:sz w:val="21"/>
          <w:szCs w:val="21"/>
        </w:rPr>
      </w:pPr>
      <w:r>
        <w:rPr>
          <w:rFonts w:hint="eastAsia" w:ascii="宋体" w:hAnsi="宋体"/>
          <w:color w:val="auto"/>
          <w:spacing w:val="0"/>
          <w:sz w:val="21"/>
          <w:szCs w:val="21"/>
        </w:rPr>
        <w:t>1.乙方须提供全新的、未使用过的合格正品货物，完全符合合同规定的质量、规格和性能的要求。</w:t>
      </w:r>
    </w:p>
    <w:p w14:paraId="49DF498B">
      <w:pPr>
        <w:pStyle w:val="9"/>
        <w:keepNext w:val="0"/>
        <w:keepLines w:val="0"/>
        <w:pageBreakBefore w:val="0"/>
        <w:widowControl/>
        <w:kinsoku w:val="0"/>
        <w:wordWrap/>
        <w:overflowPunct/>
        <w:topLinePunct w:val="0"/>
        <w:autoSpaceDE w:val="0"/>
        <w:autoSpaceDN w:val="0"/>
        <w:bidi w:val="0"/>
        <w:adjustRightInd/>
        <w:snapToGrid/>
        <w:spacing w:line="360" w:lineRule="auto"/>
        <w:ind w:firstLine="525" w:firstLineChars="250"/>
        <w:textAlignment w:val="baseline"/>
        <w:outlineLvl w:val="9"/>
        <w:rPr>
          <w:rFonts w:ascii="宋体" w:hAnsi="宋体"/>
          <w:color w:val="auto"/>
          <w:spacing w:val="0"/>
          <w:sz w:val="21"/>
          <w:szCs w:val="21"/>
        </w:rPr>
      </w:pPr>
      <w:r>
        <w:rPr>
          <w:rFonts w:hint="eastAsia" w:ascii="宋体" w:hAnsi="宋体"/>
          <w:color w:val="auto"/>
          <w:spacing w:val="0"/>
          <w:sz w:val="21"/>
          <w:szCs w:val="21"/>
        </w:rPr>
        <w:t>2.质量标准按照最新颁布的国家标准、行业标准或制造商企业标准确定，上述标准不一致的，以严格标准为准。</w:t>
      </w:r>
    </w:p>
    <w:p w14:paraId="624E0694">
      <w:pPr>
        <w:pStyle w:val="9"/>
        <w:keepNext w:val="0"/>
        <w:keepLines w:val="0"/>
        <w:pageBreakBefore w:val="0"/>
        <w:widowControl/>
        <w:kinsoku w:val="0"/>
        <w:wordWrap/>
        <w:overflowPunct/>
        <w:topLinePunct w:val="0"/>
        <w:autoSpaceDE w:val="0"/>
        <w:autoSpaceDN w:val="0"/>
        <w:bidi w:val="0"/>
        <w:adjustRightInd/>
        <w:snapToGrid/>
        <w:spacing w:line="360" w:lineRule="auto"/>
        <w:ind w:firstLine="525" w:firstLineChars="250"/>
        <w:textAlignment w:val="baseline"/>
        <w:outlineLvl w:val="9"/>
        <w:rPr>
          <w:rFonts w:ascii="宋体" w:hAnsi="宋体"/>
          <w:color w:val="auto"/>
          <w:spacing w:val="0"/>
          <w:sz w:val="21"/>
          <w:szCs w:val="21"/>
        </w:rPr>
      </w:pPr>
      <w:r>
        <w:rPr>
          <w:rFonts w:hint="eastAsia" w:ascii="宋体" w:hAnsi="宋体"/>
          <w:color w:val="auto"/>
          <w:spacing w:val="0"/>
          <w:sz w:val="21"/>
          <w:szCs w:val="21"/>
        </w:rPr>
        <w:t>3.货物质量出现问题，乙方应负责三包（包修、包换、包退），费用由乙方负担，甲方有权到乙方生产场地检查货物质量和生产进度。</w:t>
      </w:r>
    </w:p>
    <w:p w14:paraId="16BB133E">
      <w:pPr>
        <w:pStyle w:val="9"/>
        <w:keepNext w:val="0"/>
        <w:keepLines w:val="0"/>
        <w:pageBreakBefore w:val="0"/>
        <w:widowControl/>
        <w:kinsoku w:val="0"/>
        <w:wordWrap/>
        <w:overflowPunct/>
        <w:topLinePunct w:val="0"/>
        <w:autoSpaceDE w:val="0"/>
        <w:autoSpaceDN w:val="0"/>
        <w:bidi w:val="0"/>
        <w:adjustRightInd/>
        <w:snapToGrid/>
        <w:spacing w:line="360" w:lineRule="auto"/>
        <w:ind w:firstLine="423" w:firstLineChars="176"/>
        <w:textAlignment w:val="baseline"/>
        <w:outlineLvl w:val="9"/>
        <w:rPr>
          <w:rFonts w:ascii="宋体" w:hAnsi="宋体"/>
          <w:b/>
          <w:color w:val="auto"/>
          <w:spacing w:val="0"/>
        </w:rPr>
      </w:pPr>
      <w:r>
        <w:rPr>
          <w:rFonts w:hint="eastAsia" w:ascii="宋体" w:hAnsi="宋体"/>
          <w:b/>
          <w:color w:val="auto"/>
          <w:spacing w:val="0"/>
        </w:rPr>
        <w:t>第六条 权利保证</w:t>
      </w:r>
    </w:p>
    <w:p w14:paraId="3B51CFD0">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1.乙方保证对其出售的货物享有合法的权利。</w:t>
      </w:r>
    </w:p>
    <w:p w14:paraId="2BEB5B4D">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2.乙方保证对其出售的货物有合法来源。</w:t>
      </w:r>
    </w:p>
    <w:p w14:paraId="7DAFFFC6">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3.乙方保证对其出售的货物没有侵犯第三方的专利权、版权、商标权或其他权利。</w:t>
      </w:r>
    </w:p>
    <w:p w14:paraId="523A1198">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4.如甲方在使用该货物构成上述侵权的，则由乙方承担全部责任。</w:t>
      </w:r>
    </w:p>
    <w:p w14:paraId="4787E3C5">
      <w:pPr>
        <w:pStyle w:val="9"/>
        <w:keepNext w:val="0"/>
        <w:keepLines w:val="0"/>
        <w:pageBreakBefore w:val="0"/>
        <w:widowControl/>
        <w:kinsoku w:val="0"/>
        <w:wordWrap/>
        <w:overflowPunct/>
        <w:topLinePunct w:val="0"/>
        <w:autoSpaceDE w:val="0"/>
        <w:autoSpaceDN w:val="0"/>
        <w:bidi w:val="0"/>
        <w:adjustRightInd/>
        <w:snapToGrid/>
        <w:spacing w:line="360" w:lineRule="auto"/>
        <w:ind w:firstLine="423" w:firstLineChars="176"/>
        <w:textAlignment w:val="baseline"/>
        <w:outlineLvl w:val="9"/>
        <w:rPr>
          <w:rFonts w:ascii="宋体" w:hAnsi="宋体"/>
          <w:b/>
          <w:color w:val="auto"/>
          <w:spacing w:val="0"/>
        </w:rPr>
      </w:pPr>
      <w:r>
        <w:rPr>
          <w:rFonts w:hint="eastAsia" w:ascii="宋体" w:hAnsi="宋体"/>
          <w:b/>
          <w:color w:val="auto"/>
          <w:spacing w:val="0"/>
        </w:rPr>
        <w:t xml:space="preserve">第七条 包装要求与运输方式   </w:t>
      </w:r>
    </w:p>
    <w:p w14:paraId="29176118">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1.除合同另有规定外，乙方提供的全部货物均应按标准保护措施进行包装，该包装应适应防潮、防霉、防野蛮装卸，以确保货物安全运抵指定地点。</w:t>
      </w:r>
    </w:p>
    <w:p w14:paraId="0736FA83">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2.交货时提供产品检测报告和质量合格证。</w:t>
      </w:r>
    </w:p>
    <w:p w14:paraId="33145D43">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3.货物（产品）运输方式：</w:t>
      </w:r>
      <w:r>
        <w:rPr>
          <w:rFonts w:hint="eastAsia" w:ascii="宋体" w:hAnsi="宋体"/>
          <w:color w:val="auto"/>
          <w:spacing w:val="0"/>
          <w:sz w:val="21"/>
          <w:szCs w:val="21"/>
          <w:u w:val="single"/>
        </w:rPr>
        <w:t xml:space="preserve">             </w:t>
      </w:r>
      <w:r>
        <w:rPr>
          <w:rFonts w:hint="eastAsia" w:ascii="宋体" w:hAnsi="宋体"/>
          <w:color w:val="auto"/>
          <w:spacing w:val="0"/>
          <w:sz w:val="21"/>
          <w:szCs w:val="21"/>
        </w:rPr>
        <w:t>。</w:t>
      </w:r>
    </w:p>
    <w:p w14:paraId="455DB705">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4.乙方负责货物（产品）运输，货物运输的合理损耗及计算方法</w:t>
      </w:r>
      <w:r>
        <w:rPr>
          <w:rFonts w:hint="eastAsia" w:ascii="宋体" w:hAnsi="宋体"/>
          <w:color w:val="auto"/>
          <w:spacing w:val="0"/>
          <w:sz w:val="21"/>
          <w:szCs w:val="21"/>
          <w:u w:val="single"/>
        </w:rPr>
        <w:t xml:space="preserve">    </w:t>
      </w:r>
      <w:r>
        <w:rPr>
          <w:rFonts w:hint="eastAsia" w:ascii="宋体" w:hAnsi="宋体"/>
          <w:color w:val="auto"/>
          <w:spacing w:val="0"/>
          <w:sz w:val="21"/>
          <w:szCs w:val="21"/>
        </w:rPr>
        <w:t>。</w:t>
      </w:r>
    </w:p>
    <w:p w14:paraId="763F3086">
      <w:pPr>
        <w:pStyle w:val="9"/>
        <w:keepNext w:val="0"/>
        <w:keepLines w:val="0"/>
        <w:pageBreakBefore w:val="0"/>
        <w:widowControl/>
        <w:kinsoku w:val="0"/>
        <w:wordWrap/>
        <w:overflowPunct/>
        <w:topLinePunct w:val="0"/>
        <w:autoSpaceDE w:val="0"/>
        <w:autoSpaceDN w:val="0"/>
        <w:bidi w:val="0"/>
        <w:adjustRightInd/>
        <w:snapToGrid/>
        <w:spacing w:line="360" w:lineRule="auto"/>
        <w:ind w:firstLine="423" w:firstLineChars="176"/>
        <w:textAlignment w:val="baseline"/>
        <w:outlineLvl w:val="9"/>
        <w:rPr>
          <w:rFonts w:ascii="宋体" w:hAnsi="宋体"/>
          <w:b/>
          <w:color w:val="auto"/>
          <w:spacing w:val="0"/>
        </w:rPr>
      </w:pPr>
      <w:r>
        <w:rPr>
          <w:rFonts w:hint="eastAsia" w:ascii="宋体" w:hAnsi="宋体"/>
          <w:b/>
          <w:color w:val="auto"/>
          <w:spacing w:val="0"/>
        </w:rPr>
        <w:t>第八条 货物验收</w:t>
      </w:r>
    </w:p>
    <w:p w14:paraId="4FAB4785">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1.乙方负责物品的运输、供货。</w:t>
      </w:r>
    </w:p>
    <w:p w14:paraId="1DAAE9D7">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2.验收时间：乙方提出验收申请后，甲方应及时组织验收，甲方验收合格后应当出具验收报告。</w:t>
      </w:r>
    </w:p>
    <w:p w14:paraId="5B92FCA3">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3.验收标准：</w:t>
      </w:r>
    </w:p>
    <w:p w14:paraId="195F2DE1">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(1)货物应有产品合格证、产品说明书、检测报告和其它应具有的</w:t>
      </w:r>
      <w:r>
        <w:rPr>
          <w:color w:val="auto"/>
          <w:spacing w:val="0"/>
        </w:rPr>
        <w:fldChar w:fldCharType="begin"/>
      </w:r>
      <w:r>
        <w:rPr>
          <w:color w:val="auto"/>
          <w:spacing w:val="0"/>
        </w:rPr>
        <w:instrText xml:space="preserve"> HYPERLINK "http://set2.mail.qq.com/cgi-bin/mail_spam?action=check_link&amp;spam=0&amp;url=http%3A%2F%2Fwww%2Ebaidu%2Ecom%2Fs%3Fwd%3D%25E5%258D%2595%25E8%25AF%2581%26hl_tag%3Dtextlink%26tn%3DSE_hldp01350_v6v6zkg6" </w:instrText>
      </w:r>
      <w:r>
        <w:rPr>
          <w:color w:val="auto"/>
          <w:spacing w:val="0"/>
        </w:rPr>
        <w:fldChar w:fldCharType="separate"/>
      </w:r>
      <w:r>
        <w:rPr>
          <w:rFonts w:hint="eastAsia" w:ascii="宋体" w:hAnsi="宋体"/>
          <w:color w:val="auto"/>
          <w:spacing w:val="0"/>
          <w:sz w:val="21"/>
          <w:szCs w:val="21"/>
        </w:rPr>
        <w:t>单证</w:t>
      </w:r>
      <w:r>
        <w:rPr>
          <w:rFonts w:hint="eastAsia" w:ascii="宋体" w:hAnsi="宋体"/>
          <w:color w:val="auto"/>
          <w:spacing w:val="0"/>
          <w:sz w:val="21"/>
          <w:szCs w:val="21"/>
        </w:rPr>
        <w:fldChar w:fldCharType="end"/>
      </w:r>
      <w:r>
        <w:rPr>
          <w:rFonts w:hint="eastAsia" w:ascii="宋体" w:hAnsi="宋体"/>
          <w:color w:val="auto"/>
          <w:spacing w:val="0"/>
          <w:sz w:val="21"/>
          <w:szCs w:val="21"/>
        </w:rPr>
        <w:t>；验收时采购人对货物进行抽查，如不符合要求，采购人拒绝结算。</w:t>
      </w:r>
    </w:p>
    <w:p w14:paraId="4FD0F872">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(2)质量符合国家法律法规规定的合格标准、招标文件的要求。</w:t>
      </w:r>
    </w:p>
    <w:p w14:paraId="5BC225E5">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2.货物验收依据：</w:t>
      </w:r>
    </w:p>
    <w:p w14:paraId="29E3C9FE">
      <w:pPr>
        <w:pStyle w:val="3"/>
        <w:keepNext w:val="0"/>
        <w:keepLines w:val="0"/>
        <w:pageBreakBefore w:val="0"/>
        <w:widowControl/>
        <w:kinsoku w:val="0"/>
        <w:wordWrap/>
        <w:overflowPunct/>
        <w:topLinePunct w:val="0"/>
        <w:autoSpaceDE w:val="0"/>
        <w:autoSpaceDN w:val="0"/>
        <w:bidi w:val="0"/>
        <w:adjustRightInd/>
        <w:snapToGrid/>
        <w:spacing w:line="384" w:lineRule="auto"/>
        <w:ind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（1）招标文件；</w:t>
      </w:r>
    </w:p>
    <w:p w14:paraId="161C210D">
      <w:pPr>
        <w:pStyle w:val="3"/>
        <w:keepNext w:val="0"/>
        <w:keepLines w:val="0"/>
        <w:pageBreakBefore w:val="0"/>
        <w:widowControl/>
        <w:kinsoku w:val="0"/>
        <w:wordWrap/>
        <w:overflowPunct/>
        <w:topLinePunct w:val="0"/>
        <w:autoSpaceDE w:val="0"/>
        <w:autoSpaceDN w:val="0"/>
        <w:bidi w:val="0"/>
        <w:adjustRightInd/>
        <w:snapToGrid/>
        <w:spacing w:line="384" w:lineRule="auto"/>
        <w:ind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（2）投标文件；</w:t>
      </w:r>
    </w:p>
    <w:p w14:paraId="7F679166">
      <w:pPr>
        <w:pStyle w:val="3"/>
        <w:keepNext w:val="0"/>
        <w:keepLines w:val="0"/>
        <w:pageBreakBefore w:val="0"/>
        <w:widowControl/>
        <w:kinsoku w:val="0"/>
        <w:wordWrap/>
        <w:overflowPunct/>
        <w:topLinePunct w:val="0"/>
        <w:autoSpaceDE w:val="0"/>
        <w:autoSpaceDN w:val="0"/>
        <w:bidi w:val="0"/>
        <w:adjustRightInd/>
        <w:snapToGrid/>
        <w:spacing w:line="384" w:lineRule="auto"/>
        <w:ind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（3）采购合同及补充协议；</w:t>
      </w:r>
    </w:p>
    <w:p w14:paraId="2F17BD54">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（4）货物（产品）合格的检测报告；</w:t>
      </w:r>
    </w:p>
    <w:p w14:paraId="3E960F21">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（5）合格证。</w:t>
      </w:r>
    </w:p>
    <w:p w14:paraId="6936D1B1">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3.货物验收时发现问题的处理办法：</w:t>
      </w:r>
    </w:p>
    <w:p w14:paraId="6DF8995D">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（1）乙方提供不符合招标文件和本合同规定的货物（产品），甲方有权拒绝接受；</w:t>
      </w:r>
    </w:p>
    <w:p w14:paraId="29163A9D">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2C493FE2">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（3）乙方不能完整交付货物及本条第一款规定的单证和工具的，必须负责补齐，否则视为未按合同约定交货。</w:t>
      </w:r>
    </w:p>
    <w:p w14:paraId="0CE00853">
      <w:pPr>
        <w:pStyle w:val="9"/>
        <w:keepNext w:val="0"/>
        <w:keepLines w:val="0"/>
        <w:pageBreakBefore w:val="0"/>
        <w:widowControl/>
        <w:kinsoku w:val="0"/>
        <w:wordWrap/>
        <w:overflowPunct/>
        <w:topLinePunct w:val="0"/>
        <w:autoSpaceDE w:val="0"/>
        <w:autoSpaceDN w:val="0"/>
        <w:bidi w:val="0"/>
        <w:adjustRightInd/>
        <w:snapToGrid/>
        <w:spacing w:line="384" w:lineRule="auto"/>
        <w:ind w:firstLine="423" w:firstLineChars="176"/>
        <w:textAlignment w:val="baseline"/>
        <w:outlineLvl w:val="9"/>
        <w:rPr>
          <w:rFonts w:ascii="宋体" w:hAnsi="宋体"/>
          <w:b/>
          <w:color w:val="auto"/>
          <w:spacing w:val="0"/>
        </w:rPr>
      </w:pPr>
      <w:r>
        <w:rPr>
          <w:rFonts w:hint="eastAsia" w:ascii="宋体" w:hAnsi="宋体"/>
          <w:b/>
          <w:color w:val="auto"/>
          <w:spacing w:val="0"/>
        </w:rPr>
        <w:t>第九条 售后服务</w:t>
      </w:r>
    </w:p>
    <w:p w14:paraId="06ADA7FC">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kern w:val="0"/>
          <w:sz w:val="21"/>
          <w:szCs w:val="21"/>
        </w:rPr>
      </w:pPr>
      <w:r>
        <w:rPr>
          <w:rFonts w:hint="eastAsia" w:ascii="宋体" w:hAnsi="宋体"/>
          <w:color w:val="auto"/>
          <w:spacing w:val="0"/>
          <w:kern w:val="0"/>
          <w:sz w:val="21"/>
          <w:szCs w:val="21"/>
        </w:rPr>
        <w:t>乙方应按照国家有关法律法规和“三包”规定以及招标文件要求和投标文件的“服务承诺”提供服务。</w:t>
      </w:r>
    </w:p>
    <w:p w14:paraId="53C89EF4">
      <w:pPr>
        <w:pStyle w:val="9"/>
        <w:keepNext w:val="0"/>
        <w:keepLines w:val="0"/>
        <w:pageBreakBefore w:val="0"/>
        <w:widowControl/>
        <w:kinsoku w:val="0"/>
        <w:wordWrap/>
        <w:overflowPunct/>
        <w:topLinePunct w:val="0"/>
        <w:autoSpaceDE w:val="0"/>
        <w:autoSpaceDN w:val="0"/>
        <w:bidi w:val="0"/>
        <w:adjustRightInd/>
        <w:snapToGrid/>
        <w:spacing w:line="384" w:lineRule="auto"/>
        <w:ind w:firstLine="423" w:firstLineChars="176"/>
        <w:textAlignment w:val="baseline"/>
        <w:outlineLvl w:val="9"/>
        <w:rPr>
          <w:rFonts w:ascii="宋体" w:hAnsi="宋体"/>
          <w:b/>
          <w:color w:val="auto"/>
          <w:spacing w:val="0"/>
        </w:rPr>
      </w:pPr>
      <w:r>
        <w:rPr>
          <w:rFonts w:hint="eastAsia" w:ascii="宋体" w:hAnsi="宋体"/>
          <w:b/>
          <w:color w:val="auto"/>
          <w:spacing w:val="0"/>
        </w:rPr>
        <w:t>第十条 违约责任</w:t>
      </w:r>
    </w:p>
    <w:p w14:paraId="7C9C6955">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1.甲方违约责任</w:t>
      </w:r>
    </w:p>
    <w:p w14:paraId="1AFFB735">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（1）甲方无正当理由拒收货物的，甲方应偿付合同总价</w:t>
      </w:r>
      <w:r>
        <w:rPr>
          <w:rFonts w:hint="eastAsia" w:ascii="宋体" w:hAnsi="宋体"/>
          <w:color w:val="auto"/>
          <w:spacing w:val="0"/>
          <w:sz w:val="21"/>
          <w:szCs w:val="21"/>
          <w:u w:val="single"/>
        </w:rPr>
        <w:t xml:space="preserve">    </w:t>
      </w:r>
      <w:r>
        <w:rPr>
          <w:rFonts w:hint="eastAsia" w:ascii="宋体" w:hAnsi="宋体"/>
          <w:color w:val="auto"/>
          <w:spacing w:val="0"/>
          <w:sz w:val="21"/>
          <w:szCs w:val="21"/>
        </w:rPr>
        <w:t>%的违约金；</w:t>
      </w:r>
    </w:p>
    <w:p w14:paraId="5BDC1401">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（2）甲方逾期支付货款的，除应及时付足货款外，应向乙方每天支付欠款总额</w:t>
      </w:r>
      <w:r>
        <w:rPr>
          <w:rFonts w:hint="eastAsia" w:ascii="宋体" w:hAnsi="宋体"/>
          <w:color w:val="auto"/>
          <w:spacing w:val="0"/>
          <w:sz w:val="21"/>
          <w:szCs w:val="21"/>
          <w:u w:val="single"/>
        </w:rPr>
        <w:t xml:space="preserve">   </w:t>
      </w:r>
      <w:r>
        <w:rPr>
          <w:rFonts w:hint="eastAsia" w:ascii="宋体" w:hAnsi="宋体"/>
          <w:color w:val="auto"/>
          <w:spacing w:val="0"/>
          <w:sz w:val="21"/>
          <w:szCs w:val="21"/>
        </w:rPr>
        <w:t>‰的滞纳金；但累计滞纳金总额不超过欠款总额的</w:t>
      </w:r>
      <w:r>
        <w:rPr>
          <w:rFonts w:hint="eastAsia" w:ascii="宋体" w:hAnsi="宋体"/>
          <w:color w:val="auto"/>
          <w:spacing w:val="0"/>
          <w:sz w:val="21"/>
          <w:szCs w:val="21"/>
          <w:u w:val="single"/>
        </w:rPr>
        <w:t xml:space="preserve">    </w:t>
      </w:r>
      <w:r>
        <w:rPr>
          <w:rFonts w:hint="eastAsia" w:ascii="宋体" w:hAnsi="宋体"/>
          <w:color w:val="auto"/>
          <w:spacing w:val="0"/>
          <w:sz w:val="21"/>
          <w:szCs w:val="21"/>
        </w:rPr>
        <w:t>%。</w:t>
      </w:r>
    </w:p>
    <w:p w14:paraId="6A164D3B">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2.乙方违约责任</w:t>
      </w:r>
    </w:p>
    <w:p w14:paraId="6DC5CEEC">
      <w:pPr>
        <w:keepNext w:val="0"/>
        <w:keepLines w:val="0"/>
        <w:pageBreakBefore w:val="0"/>
        <w:widowControl/>
        <w:kinsoku w:val="0"/>
        <w:wordWrap/>
        <w:overflowPunct/>
        <w:topLinePunct w:val="0"/>
        <w:autoSpaceDE w:val="0"/>
        <w:autoSpaceDN w:val="0"/>
        <w:bidi w:val="0"/>
        <w:adjustRightInd/>
        <w:snapToGrid/>
        <w:spacing w:line="384" w:lineRule="auto"/>
        <w:ind w:firstLine="420" w:firstLineChars="200"/>
        <w:jc w:val="left"/>
        <w:textAlignment w:val="baseline"/>
        <w:outlineLvl w:val="9"/>
        <w:rPr>
          <w:rFonts w:ascii="宋体" w:hAnsi="宋体" w:cs="宋体"/>
          <w:color w:val="auto"/>
          <w:spacing w:val="0"/>
          <w:kern w:val="0"/>
          <w:szCs w:val="21"/>
        </w:rPr>
      </w:pPr>
      <w:r>
        <w:rPr>
          <w:rFonts w:hint="eastAsia" w:ascii="宋体" w:hAnsi="宋体" w:cs="宋体"/>
          <w:color w:val="auto"/>
          <w:spacing w:val="0"/>
          <w:kern w:val="0"/>
          <w:szCs w:val="21"/>
        </w:rPr>
        <w:t>（1）如乙方不能交付货物，乙方应向甲方支付合同总价</w:t>
      </w:r>
      <w:r>
        <w:rPr>
          <w:rFonts w:hint="eastAsia" w:ascii="宋体" w:hAnsi="宋体" w:cs="宋体"/>
          <w:color w:val="auto"/>
          <w:spacing w:val="0"/>
          <w:kern w:val="0"/>
          <w:szCs w:val="21"/>
          <w:u w:val="single"/>
        </w:rPr>
        <w:t xml:space="preserve"> 10 </w:t>
      </w:r>
      <w:r>
        <w:rPr>
          <w:rFonts w:hint="eastAsia" w:ascii="宋体" w:hAnsi="宋体" w:cs="宋体"/>
          <w:color w:val="auto"/>
          <w:spacing w:val="0"/>
          <w:kern w:val="0"/>
          <w:szCs w:val="21"/>
        </w:rPr>
        <w:t>％的违约金；</w:t>
      </w:r>
    </w:p>
    <w:p w14:paraId="1F3408E9">
      <w:pPr>
        <w:keepNext w:val="0"/>
        <w:keepLines w:val="0"/>
        <w:pageBreakBefore w:val="0"/>
        <w:widowControl/>
        <w:kinsoku w:val="0"/>
        <w:wordWrap/>
        <w:overflowPunct/>
        <w:topLinePunct w:val="0"/>
        <w:autoSpaceDE w:val="0"/>
        <w:autoSpaceDN w:val="0"/>
        <w:bidi w:val="0"/>
        <w:adjustRightInd/>
        <w:snapToGrid/>
        <w:spacing w:line="384" w:lineRule="auto"/>
        <w:ind w:firstLine="420" w:firstLineChars="200"/>
        <w:jc w:val="left"/>
        <w:textAlignment w:val="baseline"/>
        <w:outlineLvl w:val="9"/>
        <w:rPr>
          <w:rFonts w:ascii="宋体" w:hAnsi="宋体" w:cs="宋体"/>
          <w:color w:val="auto"/>
          <w:spacing w:val="0"/>
          <w:kern w:val="0"/>
          <w:szCs w:val="21"/>
        </w:rPr>
      </w:pPr>
      <w:r>
        <w:rPr>
          <w:rFonts w:hint="eastAsia" w:ascii="宋体" w:hAnsi="宋体" w:cs="宋体"/>
          <w:color w:val="auto"/>
          <w:spacing w:val="0"/>
          <w:kern w:val="0"/>
          <w:szCs w:val="21"/>
        </w:rPr>
        <w:t>（2）乙方逾期交付货物的，每逾期1天，乙方向甲方偿付逾期交货部分货款总额的</w:t>
      </w:r>
      <w:r>
        <w:rPr>
          <w:rFonts w:hint="eastAsia" w:ascii="宋体" w:hAnsi="宋体" w:cs="宋体"/>
          <w:color w:val="auto"/>
          <w:spacing w:val="0"/>
          <w:kern w:val="0"/>
          <w:szCs w:val="21"/>
          <w:u w:val="single"/>
        </w:rPr>
        <w:t xml:space="preserve">   </w:t>
      </w:r>
      <w:r>
        <w:rPr>
          <w:rFonts w:hint="eastAsia" w:ascii="宋体" w:hAnsi="宋体" w:cs="宋体"/>
          <w:color w:val="auto"/>
          <w:spacing w:val="0"/>
          <w:kern w:val="0"/>
          <w:szCs w:val="21"/>
        </w:rPr>
        <w:t>‰的滞纳金。如乙方逾期交货达</w:t>
      </w:r>
      <w:r>
        <w:rPr>
          <w:rFonts w:hint="eastAsia" w:ascii="宋体" w:hAnsi="宋体" w:eastAsia="宋体" w:cs="宋体"/>
          <w:color w:val="auto"/>
          <w:spacing w:val="0"/>
          <w:kern w:val="0"/>
          <w:szCs w:val="21"/>
          <w:u w:val="single"/>
          <w:lang w:val="en-US" w:eastAsia="zh-CN"/>
        </w:rPr>
        <w:t xml:space="preserve">   </w:t>
      </w:r>
      <w:r>
        <w:rPr>
          <w:rFonts w:hint="eastAsia" w:ascii="宋体" w:hAnsi="宋体" w:cs="宋体"/>
          <w:color w:val="auto"/>
          <w:spacing w:val="0"/>
          <w:kern w:val="0"/>
          <w:szCs w:val="21"/>
        </w:rPr>
        <w:t>天，甲方有权解除合同，解除合同的通知自到达乙方时生效；</w:t>
      </w:r>
    </w:p>
    <w:p w14:paraId="2E2C4B94">
      <w:pPr>
        <w:keepNext w:val="0"/>
        <w:keepLines w:val="0"/>
        <w:pageBreakBefore w:val="0"/>
        <w:widowControl/>
        <w:kinsoku w:val="0"/>
        <w:wordWrap/>
        <w:overflowPunct/>
        <w:topLinePunct w:val="0"/>
        <w:autoSpaceDE w:val="0"/>
        <w:autoSpaceDN w:val="0"/>
        <w:bidi w:val="0"/>
        <w:adjustRightInd/>
        <w:snapToGrid/>
        <w:spacing w:line="384" w:lineRule="auto"/>
        <w:ind w:firstLine="420" w:firstLineChars="200"/>
        <w:jc w:val="left"/>
        <w:textAlignment w:val="baseline"/>
        <w:outlineLvl w:val="9"/>
        <w:rPr>
          <w:rFonts w:ascii="宋体" w:hAnsi="宋体" w:cs="宋体"/>
          <w:color w:val="auto"/>
          <w:spacing w:val="0"/>
          <w:kern w:val="0"/>
          <w:szCs w:val="21"/>
        </w:rPr>
      </w:pPr>
      <w:r>
        <w:rPr>
          <w:rFonts w:hint="eastAsia" w:ascii="宋体" w:hAnsi="宋体" w:cs="宋体"/>
          <w:color w:val="auto"/>
          <w:spacing w:val="0"/>
          <w:kern w:val="0"/>
          <w:szCs w:val="21"/>
        </w:rPr>
        <w:t>（3）乙方所交付的货物品种、型号、规格不符合合同规定的，甲方有权拒收。甲方拒收的，乙方应向甲方支付货款总额</w:t>
      </w:r>
      <w:r>
        <w:rPr>
          <w:rFonts w:hint="eastAsia" w:ascii="宋体" w:hAnsi="宋体" w:cs="宋体"/>
          <w:color w:val="auto"/>
          <w:spacing w:val="0"/>
          <w:kern w:val="0"/>
          <w:szCs w:val="21"/>
          <w:u w:val="single"/>
        </w:rPr>
        <w:t xml:space="preserve">    </w:t>
      </w:r>
      <w:r>
        <w:rPr>
          <w:rFonts w:hint="eastAsia" w:ascii="宋体" w:hAnsi="宋体" w:cs="宋体"/>
          <w:color w:val="auto"/>
          <w:spacing w:val="0"/>
          <w:kern w:val="0"/>
          <w:szCs w:val="21"/>
        </w:rPr>
        <w:t>%的违约金；</w:t>
      </w:r>
    </w:p>
    <w:p w14:paraId="0BFC9C65">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（4）乙方货物经甲方验收后，如货物质量不符合本合同规定标准的，则视为乙方没有按时交货而违约，乙方须在</w:t>
      </w:r>
      <w:r>
        <w:rPr>
          <w:rFonts w:hint="eastAsia" w:ascii="宋体" w:hAnsi="宋体"/>
          <w:color w:val="auto"/>
          <w:spacing w:val="0"/>
          <w:sz w:val="21"/>
          <w:szCs w:val="21"/>
          <w:u w:val="single"/>
        </w:rPr>
        <w:t xml:space="preserve">    </w:t>
      </w:r>
      <w:r>
        <w:rPr>
          <w:rFonts w:hint="eastAsia" w:ascii="宋体" w:hAnsi="宋体"/>
          <w:color w:val="auto"/>
          <w:spacing w:val="0"/>
          <w:sz w:val="21"/>
          <w:szCs w:val="21"/>
        </w:rPr>
        <w:t>天内无条件更换合格的货物，如逾期不能更换合格的货物，甲方有权终止本合同，乙方应另向甲方支付货款总额的</w:t>
      </w:r>
      <w:r>
        <w:rPr>
          <w:rFonts w:hint="eastAsia" w:ascii="宋体" w:hAnsi="宋体"/>
          <w:color w:val="auto"/>
          <w:spacing w:val="0"/>
          <w:sz w:val="21"/>
          <w:szCs w:val="21"/>
          <w:u w:val="single"/>
        </w:rPr>
        <w:t xml:space="preserve">    </w:t>
      </w:r>
      <w:r>
        <w:rPr>
          <w:rFonts w:hint="eastAsia" w:ascii="宋体" w:hAnsi="宋体"/>
          <w:color w:val="auto"/>
          <w:spacing w:val="0"/>
          <w:sz w:val="21"/>
          <w:szCs w:val="21"/>
        </w:rPr>
        <w:t>%的违约金；</w:t>
      </w:r>
    </w:p>
    <w:p w14:paraId="31D39058">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kern w:val="0"/>
          <w:sz w:val="21"/>
          <w:szCs w:val="21"/>
        </w:rPr>
      </w:pPr>
      <w:r>
        <w:rPr>
          <w:rFonts w:hint="eastAsia" w:ascii="宋体" w:hAnsi="宋体"/>
          <w:color w:val="auto"/>
          <w:spacing w:val="0"/>
          <w:kern w:val="0"/>
          <w:sz w:val="21"/>
          <w:szCs w:val="21"/>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2D203739">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kern w:val="0"/>
          <w:sz w:val="21"/>
          <w:szCs w:val="21"/>
        </w:rPr>
      </w:pPr>
      <w:r>
        <w:rPr>
          <w:rFonts w:hint="eastAsia" w:ascii="宋体" w:hAnsi="宋体"/>
          <w:color w:val="auto"/>
          <w:spacing w:val="0"/>
          <w:kern w:val="0"/>
          <w:sz w:val="21"/>
          <w:szCs w:val="21"/>
        </w:rPr>
        <w:t>（6）乙方未按本合同的规定和</w:t>
      </w:r>
      <w:r>
        <w:rPr>
          <w:rFonts w:hint="eastAsia" w:ascii="宋体" w:hAnsi="宋体" w:eastAsia="宋体"/>
          <w:color w:val="auto"/>
          <w:spacing w:val="0"/>
          <w:kern w:val="0"/>
          <w:sz w:val="21"/>
          <w:szCs w:val="21"/>
          <w:lang w:eastAsia="zh-CN"/>
        </w:rPr>
        <w:t>“</w:t>
      </w:r>
      <w:r>
        <w:rPr>
          <w:rFonts w:hint="eastAsia" w:ascii="宋体" w:hAnsi="宋体"/>
          <w:color w:val="auto"/>
          <w:spacing w:val="0"/>
          <w:kern w:val="0"/>
          <w:sz w:val="21"/>
          <w:szCs w:val="21"/>
        </w:rPr>
        <w:t>服务承诺</w:t>
      </w:r>
      <w:r>
        <w:rPr>
          <w:rFonts w:hint="eastAsia" w:ascii="宋体" w:hAnsi="宋体" w:eastAsia="宋体"/>
          <w:color w:val="auto"/>
          <w:spacing w:val="0"/>
          <w:kern w:val="0"/>
          <w:sz w:val="21"/>
          <w:szCs w:val="21"/>
          <w:lang w:eastAsia="zh-CN"/>
        </w:rPr>
        <w:t>”</w:t>
      </w:r>
      <w:r>
        <w:rPr>
          <w:rFonts w:hint="eastAsia" w:ascii="宋体" w:hAnsi="宋体"/>
          <w:color w:val="auto"/>
          <w:spacing w:val="0"/>
          <w:kern w:val="0"/>
          <w:sz w:val="21"/>
          <w:szCs w:val="21"/>
        </w:rPr>
        <w:t>提供伴随服务/售后服务的，应按合同总价款的</w:t>
      </w:r>
      <w:r>
        <w:rPr>
          <w:rFonts w:hint="eastAsia" w:ascii="宋体" w:hAnsi="宋体"/>
          <w:color w:val="auto"/>
          <w:spacing w:val="0"/>
          <w:kern w:val="0"/>
          <w:sz w:val="21"/>
          <w:szCs w:val="21"/>
          <w:u w:val="single"/>
        </w:rPr>
        <w:t xml:space="preserve"> 10 </w:t>
      </w:r>
      <w:r>
        <w:rPr>
          <w:rFonts w:hint="eastAsia" w:ascii="宋体" w:hAnsi="宋体"/>
          <w:color w:val="auto"/>
          <w:spacing w:val="0"/>
          <w:kern w:val="0"/>
          <w:sz w:val="21"/>
          <w:szCs w:val="21"/>
        </w:rPr>
        <w:t>%向甲方承担违约责任；</w:t>
      </w:r>
    </w:p>
    <w:p w14:paraId="39A7FFA9">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kern w:val="0"/>
          <w:sz w:val="21"/>
          <w:szCs w:val="21"/>
        </w:rPr>
      </w:pPr>
      <w:r>
        <w:rPr>
          <w:rFonts w:hint="eastAsia" w:ascii="宋体" w:hAnsi="宋体"/>
          <w:color w:val="auto"/>
          <w:spacing w:val="0"/>
          <w:kern w:val="0"/>
          <w:sz w:val="21"/>
          <w:szCs w:val="21"/>
        </w:rPr>
        <w:t>（7）乙方在承担上述1-7款一项或多项违约责任后，仍应继续履行合同规定的义务（甲方解除合同的除外）。甲方未能及时追究乙方的任何一项违约责任并不表明甲方放弃追究乙方该项或其他违约责任；</w:t>
      </w:r>
    </w:p>
    <w:p w14:paraId="5F2FFBD8">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（8）乙方偿付的违约金不足以弥补甲方损失的，还应按甲方损失尚未弥补的部分，支付赔偿金给甲方。</w:t>
      </w:r>
    </w:p>
    <w:p w14:paraId="468D7ADA">
      <w:pPr>
        <w:pStyle w:val="9"/>
        <w:keepNext w:val="0"/>
        <w:keepLines w:val="0"/>
        <w:pageBreakBefore w:val="0"/>
        <w:widowControl/>
        <w:kinsoku w:val="0"/>
        <w:wordWrap/>
        <w:overflowPunct/>
        <w:topLinePunct w:val="0"/>
        <w:autoSpaceDE w:val="0"/>
        <w:autoSpaceDN w:val="0"/>
        <w:bidi w:val="0"/>
        <w:adjustRightInd/>
        <w:snapToGrid/>
        <w:spacing w:line="360" w:lineRule="auto"/>
        <w:ind w:firstLine="423" w:firstLineChars="176"/>
        <w:textAlignment w:val="baseline"/>
        <w:outlineLvl w:val="9"/>
        <w:rPr>
          <w:rFonts w:ascii="宋体" w:hAnsi="宋体"/>
          <w:b/>
          <w:color w:val="auto"/>
          <w:spacing w:val="0"/>
        </w:rPr>
      </w:pPr>
      <w:r>
        <w:rPr>
          <w:rFonts w:hint="eastAsia" w:ascii="宋体" w:hAnsi="宋体"/>
          <w:b/>
          <w:color w:val="auto"/>
          <w:spacing w:val="0"/>
        </w:rPr>
        <w:t>第十一条 合同的变更和终止</w:t>
      </w:r>
    </w:p>
    <w:p w14:paraId="46AA1F8C">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jc w:val="left"/>
        <w:textAlignment w:val="baseline"/>
        <w:outlineLvl w:val="9"/>
        <w:rPr>
          <w:rFonts w:ascii="宋体" w:hAnsi="宋体" w:cs="宋体"/>
          <w:color w:val="auto"/>
          <w:spacing w:val="0"/>
          <w:kern w:val="0"/>
          <w:szCs w:val="21"/>
        </w:rPr>
      </w:pPr>
      <w:r>
        <w:rPr>
          <w:rFonts w:hint="eastAsia" w:ascii="宋体" w:hAnsi="宋体" w:cs="宋体"/>
          <w:color w:val="auto"/>
          <w:spacing w:val="0"/>
          <w:kern w:val="0"/>
          <w:szCs w:val="21"/>
        </w:rPr>
        <w:t>除《中华人民共和国政府采购法》第49条、第50条第二款规定的情形外，本合同一经签订，甲乙双方不得擅自变更、中止或终止合同。</w:t>
      </w:r>
      <w:r>
        <w:rPr>
          <w:rFonts w:hint="eastAsia" w:ascii="宋体" w:hAnsi="宋体" w:eastAsia="宋体" w:cs="宋体"/>
          <w:color w:val="auto"/>
          <w:spacing w:val="0"/>
          <w:lang w:eastAsia="zh-CN"/>
        </w:rPr>
        <w:drawing>
          <wp:anchor distT="0" distB="0" distL="114300" distR="114300" simplePos="0" relativeHeight="251660288" behindDoc="0" locked="0" layoutInCell="1" allowOverlap="1">
            <wp:simplePos x="0" y="0"/>
            <wp:positionH relativeFrom="column">
              <wp:posOffset>3183255</wp:posOffset>
            </wp:positionH>
            <wp:positionV relativeFrom="paragraph">
              <wp:posOffset>3483610</wp:posOffset>
            </wp:positionV>
            <wp:extent cx="2392680" cy="1911350"/>
            <wp:effectExtent l="0" t="0" r="0" b="0"/>
            <wp:wrapNone/>
            <wp:docPr id="54" name="图片 54" descr="20241015173853389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20241015173853389_00"/>
                    <pic:cNvPicPr>
                      <a:picLocks noChangeAspect="1"/>
                    </pic:cNvPicPr>
                  </pic:nvPicPr>
                  <pic:blipFill>
                    <a:blip r:embed="rId7"/>
                    <a:stretch>
                      <a:fillRect/>
                    </a:stretch>
                  </pic:blipFill>
                  <pic:spPr>
                    <a:xfrm>
                      <a:off x="0" y="0"/>
                      <a:ext cx="2392680" cy="1911350"/>
                    </a:xfrm>
                    <a:prstGeom prst="rect">
                      <a:avLst/>
                    </a:prstGeom>
                  </pic:spPr>
                </pic:pic>
              </a:graphicData>
            </a:graphic>
          </wp:anchor>
        </w:drawing>
      </w:r>
    </w:p>
    <w:p w14:paraId="610E8BC3">
      <w:pPr>
        <w:pStyle w:val="9"/>
        <w:keepNext w:val="0"/>
        <w:keepLines w:val="0"/>
        <w:pageBreakBefore w:val="0"/>
        <w:widowControl/>
        <w:kinsoku w:val="0"/>
        <w:wordWrap/>
        <w:overflowPunct/>
        <w:topLinePunct w:val="0"/>
        <w:autoSpaceDE w:val="0"/>
        <w:autoSpaceDN w:val="0"/>
        <w:bidi w:val="0"/>
        <w:adjustRightInd/>
        <w:snapToGrid/>
        <w:spacing w:line="360" w:lineRule="auto"/>
        <w:ind w:firstLine="423" w:firstLineChars="176"/>
        <w:textAlignment w:val="baseline"/>
        <w:outlineLvl w:val="9"/>
        <w:rPr>
          <w:rFonts w:ascii="宋体" w:hAnsi="宋体"/>
          <w:b/>
          <w:color w:val="auto"/>
          <w:spacing w:val="0"/>
        </w:rPr>
      </w:pPr>
      <w:r>
        <w:rPr>
          <w:rFonts w:hint="eastAsia" w:ascii="宋体" w:hAnsi="宋体"/>
          <w:b/>
          <w:color w:val="auto"/>
          <w:spacing w:val="0"/>
        </w:rPr>
        <w:t>第十二条 争议的解决</w:t>
      </w:r>
    </w:p>
    <w:p w14:paraId="109EE03F">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1.因货物的质量问题发生争议，由质量技术监督部门或其指定的质量鉴定机构进行质量鉴定。货物符合标准的，鉴定费由甲方承担；货物不符合质量标准的，鉴定费由乙方承担。</w:t>
      </w:r>
    </w:p>
    <w:p w14:paraId="696842DE">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kern w:val="0"/>
          <w:sz w:val="21"/>
          <w:szCs w:val="21"/>
        </w:rPr>
      </w:pPr>
      <w:r>
        <w:rPr>
          <w:rFonts w:hint="eastAsia" w:ascii="宋体" w:hAnsi="宋体"/>
          <w:color w:val="auto"/>
          <w:spacing w:val="0"/>
          <w:kern w:val="0"/>
          <w:sz w:val="21"/>
          <w:szCs w:val="21"/>
        </w:rPr>
        <w:t>2.因履行本合同引起的或与本合同有关的争议，甲、乙双方应首先通过友好协商解决，如果协商不成，则采取以下第</w:t>
      </w:r>
      <w:r>
        <w:rPr>
          <w:rFonts w:hint="eastAsia" w:ascii="宋体" w:hAnsi="宋体"/>
          <w:color w:val="auto"/>
          <w:spacing w:val="0"/>
          <w:kern w:val="0"/>
          <w:sz w:val="21"/>
          <w:szCs w:val="21"/>
          <w:u w:val="single"/>
        </w:rPr>
        <w:t xml:space="preserve"> 2 </w:t>
      </w:r>
      <w:r>
        <w:rPr>
          <w:rFonts w:hint="eastAsia" w:ascii="宋体" w:hAnsi="宋体"/>
          <w:color w:val="auto"/>
          <w:spacing w:val="0"/>
          <w:kern w:val="0"/>
          <w:sz w:val="21"/>
          <w:szCs w:val="21"/>
        </w:rPr>
        <w:t>种方式解决争议：</w:t>
      </w:r>
    </w:p>
    <w:p w14:paraId="1F9BE2E3">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kern w:val="0"/>
          <w:sz w:val="21"/>
          <w:szCs w:val="21"/>
        </w:rPr>
      </w:pPr>
      <w:r>
        <w:rPr>
          <w:rFonts w:hint="eastAsia" w:ascii="宋体" w:hAnsi="宋体"/>
          <w:color w:val="auto"/>
          <w:spacing w:val="0"/>
          <w:kern w:val="0"/>
          <w:sz w:val="21"/>
          <w:szCs w:val="21"/>
        </w:rPr>
        <w:t>（1）向甲方所在地有管辖权的人民法院提起诉讼；</w:t>
      </w:r>
    </w:p>
    <w:p w14:paraId="13511ABD">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kern w:val="0"/>
          <w:sz w:val="21"/>
          <w:szCs w:val="21"/>
        </w:rPr>
      </w:pPr>
      <w:r>
        <w:rPr>
          <w:rFonts w:hint="eastAsia" w:ascii="宋体" w:hAnsi="宋体"/>
          <w:color w:val="auto"/>
          <w:spacing w:val="0"/>
          <w:kern w:val="0"/>
          <w:sz w:val="21"/>
          <w:szCs w:val="21"/>
        </w:rPr>
        <w:t>（2）向</w:t>
      </w:r>
      <w:r>
        <w:rPr>
          <w:rFonts w:hint="eastAsia" w:ascii="宋体" w:hAnsi="宋体"/>
          <w:color w:val="auto"/>
          <w:spacing w:val="0"/>
          <w:kern w:val="0"/>
          <w:sz w:val="21"/>
          <w:szCs w:val="21"/>
          <w:u w:val="single"/>
          <w:lang w:val="en-US" w:eastAsia="zh-CN"/>
        </w:rPr>
        <w:t>富平</w:t>
      </w:r>
      <w:r>
        <w:rPr>
          <w:rFonts w:hint="eastAsia" w:ascii="宋体" w:hAnsi="宋体"/>
          <w:color w:val="auto"/>
          <w:spacing w:val="0"/>
          <w:kern w:val="0"/>
          <w:sz w:val="21"/>
          <w:szCs w:val="21"/>
        </w:rPr>
        <w:t>仲裁委员会按其仲裁规则申请仲裁。</w:t>
      </w:r>
    </w:p>
    <w:p w14:paraId="41CB63C4">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kern w:val="0"/>
          <w:sz w:val="21"/>
          <w:szCs w:val="21"/>
        </w:rPr>
      </w:pPr>
      <w:r>
        <w:rPr>
          <w:rFonts w:hint="eastAsia" w:ascii="宋体" w:hAnsi="宋体"/>
          <w:color w:val="auto"/>
          <w:spacing w:val="0"/>
          <w:kern w:val="0"/>
          <w:sz w:val="21"/>
          <w:szCs w:val="21"/>
        </w:rPr>
        <w:t>3.在仲裁期间，本合同应继续履行。</w:t>
      </w:r>
    </w:p>
    <w:p w14:paraId="25E7650D">
      <w:pPr>
        <w:pStyle w:val="9"/>
        <w:keepNext w:val="0"/>
        <w:keepLines w:val="0"/>
        <w:pageBreakBefore w:val="0"/>
        <w:widowControl/>
        <w:kinsoku w:val="0"/>
        <w:wordWrap/>
        <w:overflowPunct/>
        <w:topLinePunct w:val="0"/>
        <w:autoSpaceDE w:val="0"/>
        <w:autoSpaceDN w:val="0"/>
        <w:bidi w:val="0"/>
        <w:adjustRightInd/>
        <w:snapToGrid/>
        <w:spacing w:line="360" w:lineRule="auto"/>
        <w:ind w:firstLine="423" w:firstLineChars="176"/>
        <w:textAlignment w:val="baseline"/>
        <w:outlineLvl w:val="9"/>
        <w:rPr>
          <w:rFonts w:ascii="宋体" w:hAnsi="宋体"/>
          <w:b/>
          <w:color w:val="auto"/>
          <w:spacing w:val="0"/>
        </w:rPr>
      </w:pPr>
      <w:r>
        <w:rPr>
          <w:rFonts w:hint="eastAsia" w:ascii="宋体" w:hAnsi="宋体"/>
          <w:b/>
          <w:color w:val="auto"/>
          <w:spacing w:val="0"/>
        </w:rPr>
        <w:t>第十三条 合同文件</w:t>
      </w:r>
    </w:p>
    <w:p w14:paraId="46001BB8">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详细技术说明及其他有关合同项目的特定信息由合同附件予以说明，下列文件构成本合同的组成部分，应该认为是一个整体，彼此相互解释，相互补充。组成合同的多个文件的优先支配地位的次序如下：</w:t>
      </w:r>
    </w:p>
    <w:p w14:paraId="2A88A358">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1.本合同书</w:t>
      </w:r>
    </w:p>
    <w:p w14:paraId="002EDAAA">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2.中标通知书</w:t>
      </w:r>
      <w:r>
        <w:rPr>
          <w:rFonts w:hint="eastAsia" w:ascii="宋体" w:hAnsi="宋体" w:cs="宋体"/>
          <w:color w:val="auto"/>
          <w:spacing w:val="0"/>
          <w:szCs w:val="21"/>
        </w:rPr>
        <w:tab/>
      </w:r>
    </w:p>
    <w:p w14:paraId="768D3957">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3.协议</w:t>
      </w:r>
    </w:p>
    <w:p w14:paraId="7885D5A1">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4.招标文件(含澄清或者修改文件)</w:t>
      </w:r>
    </w:p>
    <w:p w14:paraId="4BC74447">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5.投标文件</w:t>
      </w:r>
    </w:p>
    <w:p w14:paraId="35B4403F">
      <w:pPr>
        <w:pStyle w:val="9"/>
        <w:keepNext w:val="0"/>
        <w:keepLines w:val="0"/>
        <w:pageBreakBefore w:val="0"/>
        <w:widowControl/>
        <w:kinsoku w:val="0"/>
        <w:wordWrap/>
        <w:overflowPunct/>
        <w:topLinePunct w:val="0"/>
        <w:autoSpaceDE w:val="0"/>
        <w:autoSpaceDN w:val="0"/>
        <w:bidi w:val="0"/>
        <w:adjustRightInd/>
        <w:snapToGrid/>
        <w:spacing w:line="360" w:lineRule="auto"/>
        <w:ind w:firstLine="423" w:firstLineChars="176"/>
        <w:textAlignment w:val="baseline"/>
        <w:outlineLvl w:val="9"/>
        <w:rPr>
          <w:rFonts w:ascii="宋体" w:hAnsi="宋体"/>
          <w:b/>
          <w:color w:val="auto"/>
          <w:spacing w:val="0"/>
        </w:rPr>
      </w:pPr>
      <w:r>
        <w:rPr>
          <w:rFonts w:hint="eastAsia" w:ascii="宋体" w:hAnsi="宋体"/>
          <w:b/>
          <w:color w:val="auto"/>
          <w:spacing w:val="0"/>
        </w:rPr>
        <w:t>第十四条 合同生效及其他</w:t>
      </w:r>
    </w:p>
    <w:p w14:paraId="587E87FA">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kern w:val="0"/>
          <w:szCs w:val="21"/>
        </w:rPr>
        <w:t>1.</w:t>
      </w:r>
      <w:r>
        <w:rPr>
          <w:rFonts w:hint="eastAsia" w:ascii="宋体" w:hAnsi="宋体" w:cs="宋体"/>
          <w:color w:val="auto"/>
          <w:spacing w:val="0"/>
          <w:szCs w:val="21"/>
        </w:rPr>
        <w:t>如有未尽事宜，由双方依法订立补充合同。</w:t>
      </w:r>
    </w:p>
    <w:p w14:paraId="585028D1">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kern w:val="0"/>
          <w:szCs w:val="21"/>
        </w:rPr>
      </w:pPr>
      <w:r>
        <w:rPr>
          <w:rFonts w:hint="eastAsia" w:ascii="宋体" w:hAnsi="宋体" w:cs="宋体"/>
          <w:color w:val="auto"/>
          <w:spacing w:val="0"/>
          <w:kern w:val="0"/>
          <w:szCs w:val="21"/>
        </w:rPr>
        <w:t>2.本合同自签订之日起生效。</w:t>
      </w:r>
    </w:p>
    <w:p w14:paraId="19A95478">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kern w:val="0"/>
          <w:szCs w:val="21"/>
        </w:rPr>
      </w:pPr>
      <w:r>
        <w:rPr>
          <w:rFonts w:hint="eastAsia" w:ascii="宋体" w:hAnsi="宋体" w:cs="宋体"/>
          <w:color w:val="auto"/>
          <w:spacing w:val="0"/>
          <w:kern w:val="0"/>
          <w:szCs w:val="21"/>
        </w:rPr>
        <w:t>3.本合同一式</w:t>
      </w:r>
      <w:r>
        <w:rPr>
          <w:rFonts w:hint="eastAsia" w:ascii="宋体" w:hAnsi="宋体" w:cs="宋体"/>
          <w:color w:val="auto"/>
          <w:spacing w:val="0"/>
          <w:kern w:val="0"/>
          <w:szCs w:val="21"/>
          <w:u w:val="single"/>
        </w:rPr>
        <w:t>陆</w:t>
      </w:r>
      <w:r>
        <w:rPr>
          <w:rFonts w:hint="eastAsia" w:ascii="宋体" w:hAnsi="宋体" w:cs="宋体"/>
          <w:color w:val="auto"/>
          <w:spacing w:val="0"/>
          <w:kern w:val="0"/>
          <w:szCs w:val="21"/>
        </w:rPr>
        <w:t>份，具有同等法律效力，甲乙双方各执</w:t>
      </w:r>
      <w:r>
        <w:rPr>
          <w:rFonts w:hint="eastAsia" w:ascii="宋体" w:hAnsi="宋体" w:cs="宋体"/>
          <w:color w:val="auto"/>
          <w:spacing w:val="0"/>
          <w:kern w:val="0"/>
          <w:szCs w:val="21"/>
          <w:u w:val="single"/>
        </w:rPr>
        <w:t>贰</w:t>
      </w:r>
      <w:r>
        <w:rPr>
          <w:rFonts w:hint="eastAsia" w:ascii="宋体" w:hAnsi="宋体" w:cs="宋体"/>
          <w:color w:val="auto"/>
          <w:spacing w:val="0"/>
          <w:kern w:val="0"/>
          <w:szCs w:val="21"/>
        </w:rPr>
        <w:t>份，</w:t>
      </w:r>
      <w:r>
        <w:rPr>
          <w:rFonts w:hint="eastAsia" w:ascii="宋体" w:hAnsi="宋体" w:cs="宋体"/>
          <w:color w:val="auto"/>
          <w:spacing w:val="0"/>
          <w:kern w:val="0"/>
          <w:szCs w:val="21"/>
          <w:u w:val="single"/>
        </w:rPr>
        <w:t>壹</w:t>
      </w:r>
      <w:r>
        <w:rPr>
          <w:rFonts w:hint="eastAsia" w:ascii="宋体" w:hAnsi="宋体" w:cs="宋体"/>
          <w:color w:val="auto"/>
          <w:spacing w:val="0"/>
          <w:kern w:val="0"/>
          <w:szCs w:val="21"/>
        </w:rPr>
        <w:t>份报送政府采购监督管理部门备案，一份采购代理机构存档。</w:t>
      </w:r>
    </w:p>
    <w:p w14:paraId="2A3D83B7">
      <w:pPr>
        <w:snapToGrid w:val="0"/>
        <w:spacing w:line="360" w:lineRule="auto"/>
        <w:ind w:firstLine="420" w:firstLineChars="200"/>
        <w:outlineLvl w:val="9"/>
        <w:rPr>
          <w:rFonts w:ascii="宋体" w:hAnsi="宋体" w:cs="宋体"/>
          <w:color w:val="auto"/>
          <w:spacing w:val="0"/>
          <w:kern w:val="0"/>
          <w:szCs w:val="21"/>
        </w:rPr>
      </w:pPr>
    </w:p>
    <w:p w14:paraId="013055BC">
      <w:pPr>
        <w:pStyle w:val="4"/>
        <w:outlineLvl w:val="9"/>
        <w:rPr>
          <w:rFonts w:ascii="宋体" w:hAnsi="宋体" w:cs="宋体"/>
          <w:color w:val="auto"/>
          <w:spacing w:val="0"/>
          <w:kern w:val="0"/>
          <w:szCs w:val="21"/>
        </w:rPr>
      </w:pPr>
    </w:p>
    <w:p w14:paraId="0B42C094">
      <w:pPr>
        <w:outlineLvl w:val="9"/>
        <w:rPr>
          <w:color w:val="auto"/>
          <w:spacing w:val="0"/>
        </w:rPr>
      </w:pPr>
    </w:p>
    <w:p w14:paraId="711F030C">
      <w:pPr>
        <w:spacing w:line="360" w:lineRule="auto"/>
        <w:ind w:firstLine="420" w:firstLineChars="200"/>
        <w:outlineLvl w:val="9"/>
        <w:rPr>
          <w:rFonts w:ascii="宋体" w:hAnsi="宋体" w:cs="宋体"/>
          <w:color w:val="auto"/>
          <w:spacing w:val="0"/>
          <w:szCs w:val="21"/>
        </w:rPr>
      </w:pPr>
      <w:r>
        <w:rPr>
          <w:rFonts w:hint="eastAsia" w:ascii="宋体" w:hAnsi="宋体" w:cs="宋体"/>
          <w:color w:val="auto"/>
          <w:spacing w:val="0"/>
          <w:szCs w:val="21"/>
        </w:rPr>
        <w:t xml:space="preserve">甲方：   （盖章）   </w:t>
      </w:r>
      <w:r>
        <w:rPr>
          <w:rFonts w:hint="eastAsia" w:ascii="宋体" w:hAnsi="宋体" w:cs="宋体"/>
          <w:color w:val="auto"/>
          <w:spacing w:val="0"/>
          <w:szCs w:val="21"/>
        </w:rPr>
        <w:tab/>
      </w:r>
      <w:r>
        <w:rPr>
          <w:rFonts w:hint="eastAsia" w:ascii="宋体" w:hAnsi="宋体" w:cs="宋体"/>
          <w:color w:val="auto"/>
          <w:spacing w:val="0"/>
          <w:szCs w:val="21"/>
        </w:rPr>
        <w:tab/>
      </w:r>
      <w:r>
        <w:rPr>
          <w:rFonts w:hint="eastAsia" w:ascii="宋体" w:hAnsi="宋体" w:eastAsia="宋体" w:cs="宋体"/>
          <w:color w:val="auto"/>
          <w:spacing w:val="0"/>
          <w:szCs w:val="21"/>
          <w:lang w:val="en-US" w:eastAsia="zh-CN"/>
        </w:rPr>
        <w:t xml:space="preserve">   </w:t>
      </w:r>
      <w:r>
        <w:rPr>
          <w:rFonts w:hint="eastAsia" w:ascii="宋体" w:hAnsi="宋体" w:cs="宋体"/>
          <w:color w:val="auto"/>
          <w:spacing w:val="0"/>
          <w:szCs w:val="21"/>
        </w:rPr>
        <w:t xml:space="preserve"> </w:t>
      </w:r>
      <w:r>
        <w:rPr>
          <w:rFonts w:hint="eastAsia" w:ascii="宋体" w:hAnsi="宋体" w:eastAsia="宋体" w:cs="宋体"/>
          <w:color w:val="auto"/>
          <w:spacing w:val="0"/>
          <w:szCs w:val="21"/>
          <w:lang w:val="en-US" w:eastAsia="zh-CN"/>
        </w:rPr>
        <w:t xml:space="preserve"> </w:t>
      </w:r>
      <w:r>
        <w:rPr>
          <w:rFonts w:hint="eastAsia" w:ascii="宋体" w:hAnsi="宋体" w:cs="宋体"/>
          <w:color w:val="auto"/>
          <w:spacing w:val="0"/>
          <w:szCs w:val="21"/>
        </w:rPr>
        <w:t xml:space="preserve">          乙方：   （盖章）</w:t>
      </w:r>
    </w:p>
    <w:p w14:paraId="3F46FD1B">
      <w:pPr>
        <w:spacing w:line="360" w:lineRule="auto"/>
        <w:ind w:firstLine="420" w:firstLineChars="200"/>
        <w:outlineLvl w:val="9"/>
        <w:rPr>
          <w:rFonts w:ascii="宋体" w:hAnsi="宋体" w:cs="宋体"/>
          <w:color w:val="auto"/>
          <w:spacing w:val="0"/>
          <w:szCs w:val="21"/>
        </w:rPr>
      </w:pPr>
      <w:r>
        <w:rPr>
          <w:rFonts w:hint="eastAsia" w:ascii="宋体" w:hAnsi="宋体" w:cs="宋体"/>
          <w:color w:val="auto"/>
          <w:spacing w:val="0"/>
          <w:szCs w:val="21"/>
        </w:rPr>
        <w:t>法定代表人/委托代理人：                    法定代表人/委托代理人：</w:t>
      </w:r>
    </w:p>
    <w:p w14:paraId="3291A3BC">
      <w:pPr>
        <w:spacing w:line="360" w:lineRule="auto"/>
        <w:ind w:firstLine="420" w:firstLineChars="200"/>
        <w:outlineLvl w:val="9"/>
        <w:rPr>
          <w:rFonts w:ascii="宋体" w:hAnsi="宋体" w:cs="宋体"/>
          <w:color w:val="auto"/>
          <w:spacing w:val="0"/>
          <w:szCs w:val="21"/>
        </w:rPr>
      </w:pPr>
      <w:r>
        <w:rPr>
          <w:rFonts w:hint="eastAsia" w:ascii="宋体" w:hAnsi="宋体" w:cs="宋体"/>
          <w:color w:val="auto"/>
          <w:spacing w:val="0"/>
          <w:szCs w:val="21"/>
        </w:rPr>
        <w:t>地    址：                                 地    址：</w:t>
      </w:r>
    </w:p>
    <w:p w14:paraId="71F2194A">
      <w:pPr>
        <w:spacing w:line="360" w:lineRule="auto"/>
        <w:ind w:firstLine="420" w:firstLineChars="200"/>
        <w:outlineLvl w:val="9"/>
        <w:rPr>
          <w:rFonts w:ascii="宋体" w:hAnsi="宋体" w:cs="宋体"/>
          <w:color w:val="auto"/>
          <w:spacing w:val="0"/>
          <w:szCs w:val="21"/>
        </w:rPr>
      </w:pPr>
      <w:r>
        <w:rPr>
          <w:rFonts w:hint="eastAsia" w:ascii="宋体" w:hAnsi="宋体" w:cs="宋体"/>
          <w:color w:val="auto"/>
          <w:spacing w:val="0"/>
          <w:szCs w:val="21"/>
        </w:rPr>
        <w:t>开户银行：</w:t>
      </w:r>
      <w:r>
        <w:rPr>
          <w:rFonts w:hint="eastAsia"/>
          <w:color w:val="auto"/>
          <w:spacing w:val="0"/>
          <w:lang w:val="en-US" w:eastAsia="zh-CN"/>
        </w:rPr>
        <w:t xml:space="preserve">                                </w:t>
      </w:r>
      <w:r>
        <w:rPr>
          <w:rFonts w:hint="eastAsia"/>
          <w:color w:val="auto"/>
          <w:spacing w:val="0"/>
        </w:rPr>
        <w:t xml:space="preserve"> </w:t>
      </w:r>
      <w:r>
        <w:rPr>
          <w:rFonts w:hint="eastAsia" w:ascii="宋体" w:hAnsi="宋体" w:cs="宋体"/>
          <w:color w:val="auto"/>
          <w:spacing w:val="0"/>
          <w:szCs w:val="21"/>
        </w:rPr>
        <w:t>开户银行：</w:t>
      </w:r>
    </w:p>
    <w:p w14:paraId="00F864DF">
      <w:pPr>
        <w:spacing w:line="360" w:lineRule="auto"/>
        <w:ind w:firstLine="420" w:firstLineChars="200"/>
        <w:outlineLvl w:val="9"/>
        <w:rPr>
          <w:rFonts w:ascii="宋体" w:hAnsi="宋体" w:cs="宋体"/>
          <w:color w:val="auto"/>
          <w:spacing w:val="0"/>
          <w:szCs w:val="21"/>
        </w:rPr>
      </w:pPr>
      <w:r>
        <w:rPr>
          <w:rFonts w:hint="eastAsia" w:ascii="宋体" w:hAnsi="宋体" w:cs="宋体"/>
          <w:color w:val="auto"/>
          <w:spacing w:val="0"/>
          <w:szCs w:val="21"/>
        </w:rPr>
        <w:t xml:space="preserve">账    号： </w:t>
      </w:r>
      <w:r>
        <w:rPr>
          <w:rFonts w:hint="eastAsia"/>
          <w:color w:val="auto"/>
          <w:spacing w:val="0"/>
          <w:lang w:val="en-US" w:eastAsia="zh-CN"/>
        </w:rPr>
        <w:t xml:space="preserve">            </w:t>
      </w:r>
      <w:r>
        <w:rPr>
          <w:rFonts w:hint="eastAsia" w:ascii="宋体" w:hAnsi="宋体" w:cs="宋体"/>
          <w:color w:val="auto"/>
          <w:spacing w:val="0"/>
          <w:szCs w:val="21"/>
        </w:rPr>
        <w:t xml:space="preserve">               </w:t>
      </w:r>
      <w:r>
        <w:rPr>
          <w:rFonts w:hint="eastAsia" w:ascii="宋体" w:hAnsi="宋体" w:eastAsia="宋体" w:cs="宋体"/>
          <w:color w:val="auto"/>
          <w:spacing w:val="0"/>
          <w:szCs w:val="21"/>
          <w:lang w:val="en-US" w:eastAsia="zh-CN"/>
        </w:rPr>
        <w:t xml:space="preserve">     </w:t>
      </w:r>
      <w:r>
        <w:rPr>
          <w:rFonts w:hint="eastAsia" w:ascii="宋体" w:hAnsi="宋体" w:cs="宋体"/>
          <w:color w:val="auto"/>
          <w:spacing w:val="0"/>
          <w:szCs w:val="21"/>
        </w:rPr>
        <w:t>账    号：</w:t>
      </w:r>
    </w:p>
    <w:p w14:paraId="2900A53F">
      <w:pPr>
        <w:spacing w:line="360" w:lineRule="auto"/>
        <w:ind w:firstLine="420" w:firstLineChars="200"/>
        <w:outlineLvl w:val="9"/>
        <w:rPr>
          <w:rFonts w:ascii="宋体" w:hAnsi="宋体" w:cs="宋体"/>
          <w:color w:val="auto"/>
          <w:spacing w:val="0"/>
          <w:szCs w:val="21"/>
        </w:rPr>
      </w:pPr>
      <w:r>
        <w:rPr>
          <w:rFonts w:hint="eastAsia" w:ascii="宋体" w:hAnsi="宋体" w:cs="宋体"/>
          <w:color w:val="auto"/>
          <w:spacing w:val="0"/>
          <w:szCs w:val="21"/>
        </w:rPr>
        <w:t>电    话：                                 电    话：</w:t>
      </w:r>
    </w:p>
    <w:p w14:paraId="30807E1E">
      <w:pPr>
        <w:spacing w:line="360" w:lineRule="auto"/>
        <w:ind w:firstLine="420" w:firstLineChars="200"/>
        <w:outlineLvl w:val="9"/>
        <w:rPr>
          <w:rFonts w:ascii="宋体" w:hAnsi="宋体" w:cs="宋体"/>
          <w:color w:val="auto"/>
          <w:spacing w:val="0"/>
          <w:szCs w:val="21"/>
        </w:rPr>
      </w:pPr>
      <w:r>
        <w:rPr>
          <w:rFonts w:hint="eastAsia" w:ascii="宋体" w:hAnsi="宋体" w:cs="宋体"/>
          <w:color w:val="auto"/>
          <w:spacing w:val="0"/>
          <w:szCs w:val="21"/>
        </w:rPr>
        <w:t>传    真：                                 传    真：</w:t>
      </w:r>
    </w:p>
    <w:p w14:paraId="0CEC67A5">
      <w:pPr>
        <w:spacing w:line="360" w:lineRule="auto"/>
        <w:ind w:firstLine="420" w:firstLineChars="200"/>
        <w:outlineLvl w:val="9"/>
        <w:rPr>
          <w:rFonts w:ascii="宋体" w:hAnsi="宋体" w:cs="宋体"/>
          <w:color w:val="auto"/>
          <w:spacing w:val="0"/>
          <w:szCs w:val="21"/>
        </w:rPr>
      </w:pPr>
      <w:r>
        <w:rPr>
          <w:rFonts w:hint="eastAsia" w:ascii="宋体" w:hAnsi="宋体" w:cs="宋体"/>
          <w:color w:val="auto"/>
          <w:spacing w:val="0"/>
          <w:szCs w:val="21"/>
        </w:rPr>
        <w:t>签约日期：    年  月  日                   签约日期：    年  月  日</w:t>
      </w:r>
    </w:p>
    <w:p w14:paraId="37AC229F">
      <w:pPr>
        <w:spacing w:line="360" w:lineRule="auto"/>
        <w:ind w:firstLine="420" w:firstLineChars="200"/>
        <w:rPr>
          <w:rFonts w:ascii="宋体" w:hAnsi="宋体" w:cs="宋体"/>
          <w:color w:val="auto"/>
          <w:spacing w:val="0"/>
          <w:szCs w:val="21"/>
        </w:rPr>
      </w:pPr>
    </w:p>
    <w:p w14:paraId="14DEBD8C">
      <w:pPr>
        <w:rPr>
          <w:spacing w:val="0"/>
        </w:rPr>
      </w:pP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E4304">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D71C476">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7D71C476">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2F73EF"/>
    <w:rsid w:val="020C008E"/>
    <w:rsid w:val="08DF02AB"/>
    <w:rsid w:val="1E37603B"/>
    <w:rsid w:val="208F215E"/>
    <w:rsid w:val="20F33F94"/>
    <w:rsid w:val="2556149D"/>
    <w:rsid w:val="37B00EE0"/>
    <w:rsid w:val="43943464"/>
    <w:rsid w:val="471D19C3"/>
    <w:rsid w:val="4B842010"/>
    <w:rsid w:val="4E726A98"/>
    <w:rsid w:val="55CA644D"/>
    <w:rsid w:val="55E62245"/>
    <w:rsid w:val="5A146C55"/>
    <w:rsid w:val="5EA54320"/>
    <w:rsid w:val="5FCD3B2E"/>
    <w:rsid w:val="6A3A44B6"/>
    <w:rsid w:val="77A64F39"/>
    <w:rsid w:val="792F73EF"/>
    <w:rsid w:val="7AC905DA"/>
    <w:rsid w:val="7D775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adjustRightInd/>
      <w:snapToGrid/>
      <w:spacing w:beforeLines="0" w:beforeAutospacing="0" w:afterLines="0" w:afterAutospacing="0" w:line="360" w:lineRule="auto"/>
      <w:jc w:val="center"/>
      <w:outlineLvl w:val="0"/>
    </w:pPr>
    <w:rPr>
      <w:rFonts w:ascii="Arial" w:hAnsi="Arial" w:eastAsia="宋体"/>
      <w:b/>
      <w:kern w:val="44"/>
      <w:sz w:val="39"/>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8</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2025-10-13T08:11:00Z</dcterms:created>
  <dc:creator>你若安好 那还了得</dc:creator>
  <cp:lastModifiedBy>你若安好 那还了得</cp:lastModifiedBy>
  <dcterms:modified xsi:type="dcterms:W3CDTF">2025-10-13T08:22:00Z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9D3950720D634D43BB3922ECE473C2E4_11</vt:lpwstr>
  </property>
  <property fmtid="{D5CDD505-2E9C-101B-9397-08002B2CF9AE}" pid="4" name="KSOTemplateDocerSaveRecord">
    <vt:lpwstr>eyJoZGlkIjoiNmVhNmZiNGExYzhlNDVmOGE2N2IyODFmNThiNGY2NjEiLCJ1c2VySWQiOiI1NDMzMDAyMTgifQ==</vt:lpwstr>
  </property>
</Properties>
</file>