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版本号：JQ2025-ZFCG-03420251015001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淡村镇东环路、北三路绿化改造项目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JQ2025-ZFCG-034</w:t>
      </w:r>
      <w:r>
        <w:br/>
      </w:r>
      <w:r>
        <w:br/>
      </w:r>
      <w:r>
        <w:br/>
      </w:r>
    </w:p>
    <w:p>
      <w:pPr>
        <w:pStyle w:val="null3"/>
        <w:jc w:val="center"/>
        <w:outlineLvl w:val="2"/>
      </w:pPr>
      <w:r>
        <w:rPr>
          <w:rFonts w:ascii="仿宋_GB2312" w:hAnsi="仿宋_GB2312" w:cs="仿宋_GB2312" w:eastAsia="仿宋_GB2312"/>
          <w:sz w:val="28"/>
          <w:b/>
        </w:rPr>
        <w:t>富平县淡村镇人民政府（本级）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富平县淡村镇人民政府（本级）</w:t>
      </w:r>
      <w:r>
        <w:rPr>
          <w:rFonts w:ascii="仿宋_GB2312" w:hAnsi="仿宋_GB2312" w:cs="仿宋_GB2312" w:eastAsia="仿宋_GB2312"/>
        </w:rPr>
        <w:t>委托，拟对</w:t>
      </w:r>
      <w:r>
        <w:rPr>
          <w:rFonts w:ascii="仿宋_GB2312" w:hAnsi="仿宋_GB2312" w:cs="仿宋_GB2312" w:eastAsia="仿宋_GB2312"/>
        </w:rPr>
        <w:t>淡村镇东环路、北三路绿化改造项目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淡村镇东环路、北三路绿化改造项目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栽植各类乔木、灌木、色带等。（详见工程量清单）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3、资质证书：需具有建设行政主管部门核发的市政公用工程施工总承包三级及以上资质；</w:t>
      </w:r>
    </w:p>
    <w:p>
      <w:pPr>
        <w:pStyle w:val="null3"/>
      </w:pPr>
      <w:r>
        <w:rPr>
          <w:rFonts w:ascii="仿宋_GB2312" w:hAnsi="仿宋_GB2312" w:cs="仿宋_GB2312" w:eastAsia="仿宋_GB2312"/>
        </w:rPr>
        <w:t>4、安全许可证：须具有建设行政主管部门核发有效的安全生产许可证；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合格证书或者园林绿化相关专业中级及以上职称；（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6、供应商提供的健全的财务会计制度的证明材料：须提供2023年至今任意一年经审计的财务报告（成立时间至提交磋商响应文件截止时间不足一年的可提供成立后任意时段的财务报表）；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7、依法缴纳税后的良好记录：须提供依法缴纳税收的良好记录（提供投标截止时间前六个月内任意一个月份的缴纳凭据复印件并加盖单位公章，依法免税或开标前一年内零申报的供应商应提供相关证明文件）；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11、保证金银行转账凭证及基本账户信息证明资料：提供磋商保证金银行转账凭证及基本账户信息证明资料复印件或金融机构、担保机构出具的保函复印件，复印件均须加盖公章；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富平县淡村镇人民政府（本级）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陕西省渭南市富平县淡村镇街道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18392329944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采购包1：3,316,800.00元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收取，招标代理费、编制标底费不计入工程造价。由中标单位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富平县淡村镇人民政府（本级）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富平县淡村镇人民政府（本级）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富平县淡村镇人民政府（本级）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3,316,800.00</w:t>
      </w:r>
    </w:p>
    <w:p>
      <w:pPr>
        <w:pStyle w:val="null3"/>
      </w:pPr>
      <w:r>
        <w:rPr>
          <w:rFonts w:ascii="仿宋_GB2312" w:hAnsi="仿宋_GB2312" w:cs="仿宋_GB2312" w:eastAsia="仿宋_GB2312"/>
        </w:rPr>
        <w:t>采购包最高限价（元）: 3,260,038.08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淡村镇东环路、北三路绿化改造项目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3,316,800.00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标的名称：淡村镇东环路、北三路绿化改造项目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项目内容：</w:t>
            </w:r>
            <w:r>
              <w:rPr>
                <w:rFonts w:ascii="仿宋_GB2312" w:hAnsi="仿宋_GB2312" w:cs="仿宋_GB2312" w:eastAsia="仿宋_GB2312"/>
                <w:sz w:val="21"/>
              </w:rPr>
              <w:t>栽植各类乔木、灌木、色带等</w:t>
            </w:r>
            <w:r>
              <w:rPr>
                <w:rFonts w:ascii="仿宋_GB2312" w:hAnsi="仿宋_GB2312" w:cs="仿宋_GB2312" w:eastAsia="仿宋_GB2312"/>
                <w:sz w:val="21"/>
              </w:rPr>
              <w:t>。（详见工程量清单）</w:t>
            </w:r>
          </w:p>
          <w:p>
            <w:pPr>
              <w:pStyle w:val="null3"/>
            </w:pPr>
            <w:r>
              <w:rPr>
                <w:rFonts w:ascii="仿宋_GB2312" w:hAnsi="仿宋_GB2312" w:cs="仿宋_GB2312" w:eastAsia="仿宋_GB2312"/>
                <w:sz w:val="21"/>
              </w:rPr>
              <w:t>工</w:t>
            </w:r>
            <w:r>
              <w:rPr>
                <w:rFonts w:ascii="仿宋_GB2312" w:hAnsi="仿宋_GB2312" w:cs="仿宋_GB2312" w:eastAsia="仿宋_GB2312"/>
                <w:sz w:val="21"/>
              </w:rPr>
              <w:t xml:space="preserve">  </w:t>
            </w:r>
            <w:r>
              <w:rPr>
                <w:rFonts w:ascii="仿宋_GB2312" w:hAnsi="仿宋_GB2312" w:cs="仿宋_GB2312" w:eastAsia="仿宋_GB2312"/>
                <w:sz w:val="21"/>
              </w:rPr>
              <w:t>期：6</w:t>
            </w:r>
            <w:r>
              <w:rPr>
                <w:rFonts w:ascii="仿宋_GB2312" w:hAnsi="仿宋_GB2312" w:cs="仿宋_GB2312" w:eastAsia="仿宋_GB2312"/>
                <w:sz w:val="21"/>
              </w:rPr>
              <w:t>0日历天（具体起止日期以合同签订时间为准）</w:t>
            </w:r>
          </w:p>
          <w:p>
            <w:pPr>
              <w:pStyle w:val="null3"/>
            </w:pPr>
            <w:r>
              <w:rPr>
                <w:rFonts w:ascii="仿宋_GB2312" w:hAnsi="仿宋_GB2312" w:cs="仿宋_GB2312" w:eastAsia="仿宋_GB2312"/>
                <w:sz w:val="21"/>
              </w:rPr>
              <w:t>合同履约地点：甲方指定地点</w:t>
            </w:r>
          </w:p>
          <w:p>
            <w:pPr>
              <w:pStyle w:val="null3"/>
            </w:pPr>
            <w:r>
              <w:rPr>
                <w:rFonts w:ascii="仿宋_GB2312" w:hAnsi="仿宋_GB2312" w:cs="仿宋_GB2312" w:eastAsia="仿宋_GB2312"/>
                <w:sz w:val="21"/>
                <w:color w:val="000000"/>
              </w:rPr>
              <w:t>工程质量：合格</w:t>
            </w:r>
          </w:p>
          <w:p>
            <w:pPr>
              <w:pStyle w:val="null3"/>
              <w:jc w:val="both"/>
            </w:pPr>
            <w:r>
              <w:rPr>
                <w:rFonts w:ascii="仿宋_GB2312" w:hAnsi="仿宋_GB2312" w:cs="仿宋_GB2312" w:eastAsia="仿宋_GB2312"/>
                <w:sz w:val="21"/>
                <w:color w:val="000000"/>
              </w:rPr>
              <w:t>付款方式：合同签订后付至合同价款的30%作为预付款，施工完成验收合格后付至合同价款的80%，待工程决算审计报告双方签字盖章认可后，付至审计价款的97%，剩余3%作为工程质量保修金，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非专门面向中小企业</w:t>
            </w:r>
          </w:p>
        </w:tc>
        <w:tc>
          <w:tcPr>
            <w:tcW w:type="dxa" w:w="3322"/>
          </w:tcPr>
          <w:p>
            <w:pPr>
              <w:pStyle w:val="null3"/>
            </w:pPr>
            <w:r>
              <w:rPr>
                <w:rFonts w:ascii="仿宋_GB2312" w:hAnsi="仿宋_GB2312" w:cs="仿宋_GB2312" w:eastAsia="仿宋_GB2312"/>
              </w:rPr>
              <w:t>非专门面向中小企业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或者园林绿化相关专业中级及以上职称；（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供应商提供的健全的财务会计制度的证明材料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依法缴纳税后的良好记录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w:t>
            </w:r>
          </w:p>
        </w:tc>
        <w:tc>
          <w:tcPr>
            <w:tcW w:type="dxa" w:w="3322"/>
          </w:tcPr>
          <w:p>
            <w:pPr>
              <w:pStyle w:val="null3"/>
            </w:pPr>
            <w:r>
              <w:rPr>
                <w:rFonts w:ascii="仿宋_GB2312" w:hAnsi="仿宋_GB2312" w:cs="仿宋_GB2312" w:eastAsia="仿宋_GB2312"/>
              </w:rPr>
              <w:t>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保证金银行转账凭证及基本账户信息证明资料</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供应商相关证明资料保持一致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①质量管理目标②管理机构职责分工③质量管理制度④质量保证措施。方案全面 、有效的计8 分 ，方案不完善或有缺陷（不完善或有缺陷是指：方案粗略 、逻辑混乱 、描述过于简单 、与项目特点不匹配 、凭空编造、逻辑漏洞、出现常识性错误 、套用其他项目方案、存在不可能实现的夸大情形 、存在不适用项 目实际情况的情形） 每项扣1分 ，方案缺漏项或只有标题没有实质性内容的每项扣2分，扣完为止。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①安全管理目标②安全管理机构职责分工③安全管理制度④安全保证措施 。方案全面 、有效的计8 分 ，方案不完善或有缺陷（不完善或有缺陷是指：方案粗略 、逻辑混乱 、描述过于简单 、 与项 目特点 不匹配 、 凭空编造 、逻辑漏洞 、 出现常识性错误 、 套用其他项目方案 、存在不可能实现的夸大情形 、 存在不适用项 目实际情况的情形） 每项扣1 分 ，方 案缺漏项或只有标题没有实质性内容的每项扣 2分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①环境保护管理目标②环境保护管理机构 职责分工③环境保护管理制度④环境保护保证措 施 。方案合理完整的计 8 分 ，方案不完善或有缺陷 （不完善或有缺陷是指： 方案粗略 、逻辑混乱 、描述过于简单 、与项 目特点不匹配 、 凭空编造 、逻辑 漏洞 、 出现常识性错误 、套用其他项 目方案 、存在不可能实现的夸大情形 、存在不适用项 目实际情况 的情形） 每项扣1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①总工期及节点工期安排②施工进度计划安排③进度保证措施 ④资源保障与优化配置。方案合理完整的计 8分 ，方案不完善或有缺陷（不完善或有缺陷是指：方案粗略、逻辑混乱、描述过于简单 、与项 目特点不匹配、 凭空编造 、逻辑漏洞 、 出现常识性错误 、套用其他项 目方案 、存在不可能实现的夸大情形 、存在不适 用项 目实际情况的情形） 每项扣 1 分 ，方案缺漏项或只有标题没有实质性内容的每项扣 2 分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①对项 目总体概况表述②施工部署及措施③对项 目主要及关键方案的表述④施工平面布置 。方案合理完善的计12分 ，方案不完善或有缺陷（不完善 或有缺陷是指： 方案粗略 、逻辑混乱 、描述过于简 单 、与项 目特点不匹配 、 凭空编造 、逻辑漏洞 、 出现常识性错误 、套用其他项目方案 、存在不可能实现的夸大情形 、存在不适用项 目实际情况的情形） 每项扣1 分 ，方案缺漏项或只有标题没有实质性内容的每项扣3分 ， 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 目制定资源配备计划包含： ①劳动力计划②主要材料供应计划③施工机械设备配备计划。方案合理完整的计 6 分 ， 方案不完善或有缺陷 （不完善或有缺陷是指： 方案粗略 、逻辑混乱 、描 述过于简单 、与项 目特点不匹配 、 凭空编造 、逻辑 漏洞 、 出现常识性错误 、套用其他项 目方案 、存在 不可能实现的夸大情形 、存在不适用项 目实际情况 的情形） 每项扣 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①施工过程中的相关承诺②投入材料质量承诺③质量保修期服务承诺④服务响应时间 。服务承诺合理 、可行的计 4 分 ，方案不完善或有缺陷（不完善或有缺陷是 指 ：方案粗略 、逻辑混乱 、描述过于简单 、与项 目 特点不匹配 、 凭空编造 、逻辑漏洞 、 出现常识性错 误 、套用其他项 目方案 、存在不可能实现的夸大情 形 、存在不适用项 目实际情况的情形） 每项扣 0.5 分 ，方案缺漏项或只有标题没有实质性内容的每项扣 1 分 ， 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近三年完成的类似业绩一项得2分，最多得6分（提供2022年6月1日至今类似工程；投标文件中须附类似工程业绩中标通知书或合同协议书或竣工验收证明材料复印件或扫描件，并加盖公章）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