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版本号：XT-FP-2025000620251022001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富平县老庙镇新店村综合提升改造项目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XT-FP-20250006</w:t>
      </w:r>
      <w:r>
        <w:br/>
      </w:r>
      <w:r>
        <w:br/>
      </w:r>
      <w:r>
        <w:br/>
      </w:r>
    </w:p>
    <w:p>
      <w:pPr>
        <w:pStyle w:val="null3"/>
        <w:jc w:val="center"/>
        <w:outlineLvl w:val="2"/>
      </w:pPr>
      <w:r>
        <w:rPr>
          <w:rFonts w:ascii="仿宋_GB2312" w:hAnsi="仿宋_GB2312" w:cs="仿宋_GB2312" w:eastAsia="仿宋_GB2312"/>
          <w:sz w:val="28"/>
          <w:b/>
        </w:rPr>
        <w:t>富平县老庙镇人民政府（本级）</w:t>
      </w:r>
    </w:p>
    <w:p>
      <w:pPr>
        <w:pStyle w:val="null3"/>
        <w:jc w:val="center"/>
        <w:outlineLvl w:val="2"/>
      </w:pPr>
      <w:r>
        <w:rPr>
          <w:rFonts w:ascii="仿宋_GB2312" w:hAnsi="仿宋_GB2312" w:cs="仿宋_GB2312" w:eastAsia="仿宋_GB2312"/>
          <w:sz w:val="28"/>
          <w:b/>
        </w:rPr>
        <w:t>骁拓工程咨询集团有限公司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骁拓工程咨询集团有限公司</w:t>
      </w:r>
      <w:r>
        <w:rPr>
          <w:rFonts w:ascii="仿宋_GB2312" w:hAnsi="仿宋_GB2312" w:cs="仿宋_GB2312" w:eastAsia="仿宋_GB2312"/>
        </w:rPr>
        <w:t>（以下简称“代理机构”）受</w:t>
      </w:r>
      <w:r>
        <w:rPr>
          <w:rFonts w:ascii="仿宋_GB2312" w:hAnsi="仿宋_GB2312" w:cs="仿宋_GB2312" w:eastAsia="仿宋_GB2312"/>
        </w:rPr>
        <w:t>富平县老庙镇人民政府（本级）</w:t>
      </w:r>
      <w:r>
        <w:rPr>
          <w:rFonts w:ascii="仿宋_GB2312" w:hAnsi="仿宋_GB2312" w:cs="仿宋_GB2312" w:eastAsia="仿宋_GB2312"/>
        </w:rPr>
        <w:t>委托，拟对</w:t>
      </w:r>
      <w:r>
        <w:rPr>
          <w:rFonts w:ascii="仿宋_GB2312" w:hAnsi="仿宋_GB2312" w:cs="仿宋_GB2312" w:eastAsia="仿宋_GB2312"/>
        </w:rPr>
        <w:t>富平县老庙镇新店村综合提升改造项目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XT-FP-20250006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富平县老庙镇新店村综合提升改造项目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太阳能路灯100盏，道路破除新修1470平方米，20户门前改造；广场硬化420平方米，树池砌筑2个，道沿铺设117.5米，栽植国槐2株，栽植石楠、黄杨等 53平方米，栽植冬青球18株，花墙 50米等，庭院灯6盏，广场健身器材1套，石桌石凳2套等。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采购包1（富平县老庙镇新店村综合提升改造项目）：属于专门面向中小企业采购。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1、具有独立承担民事责任能力的法人、其他组织或自然人：法人或者其他组织的营业执照等证明文件，自然人的身份证明。</w:t>
      </w:r>
    </w:p>
    <w:p>
      <w:pPr>
        <w:pStyle w:val="null3"/>
      </w:pPr>
      <w:r>
        <w:rPr>
          <w:rFonts w:ascii="仿宋_GB2312" w:hAnsi="仿宋_GB2312" w:cs="仿宋_GB2312" w:eastAsia="仿宋_GB2312"/>
        </w:rPr>
        <w:t>2、法定代表人身份证明或法定代表人授权委托书：供应商参加本项目的合法授权人授权委托书;供应商应授权合法的人员参加投标全过程，其中法定代表人直接参加投标的，须出具法人身份证，并与营业执照上信息一致。法定代表人授权代表参加投标的，须出具法定代表人授权书及授权代表身份证、授权代表的本单位证明(养老保险缴纳证明)。</w:t>
      </w:r>
    </w:p>
    <w:p>
      <w:pPr>
        <w:pStyle w:val="null3"/>
      </w:pPr>
      <w:r>
        <w:rPr>
          <w:rFonts w:ascii="仿宋_GB2312" w:hAnsi="仿宋_GB2312" w:cs="仿宋_GB2312" w:eastAsia="仿宋_GB2312"/>
        </w:rPr>
        <w:t>3、财务状况报告：供应商提供2023年度或2024年度年度经审计的财务报告（包含审计报告和审计报告中所涉及的财务报表和报表附注）或投标截止日前三个月内开户银行出具的资信证明文件基本账户信息证明文件或财政部门认可的政府采购专业担保机构开具的投标担保函。</w:t>
      </w:r>
    </w:p>
    <w:p>
      <w:pPr>
        <w:pStyle w:val="null3"/>
      </w:pPr>
      <w:r>
        <w:rPr>
          <w:rFonts w:ascii="仿宋_GB2312" w:hAnsi="仿宋_GB2312" w:cs="仿宋_GB2312" w:eastAsia="仿宋_GB2312"/>
        </w:rPr>
        <w:t>4、税收缴纳证明：依法缴纳税收的良好记录(提供投标截止时间前六个月内任意一个月份依法纳税证明或无欠税证明)依法免税的供应商应提供相关资料证明。</w:t>
      </w:r>
    </w:p>
    <w:p>
      <w:pPr>
        <w:pStyle w:val="null3"/>
      </w:pPr>
      <w:r>
        <w:rPr>
          <w:rFonts w:ascii="仿宋_GB2312" w:hAnsi="仿宋_GB2312" w:cs="仿宋_GB2312" w:eastAsia="仿宋_GB2312"/>
        </w:rPr>
        <w:t>5、社会保障资金缴纳证明：依法缴纳社会保障资金的良好记录(提供投标截止时间前六个月内任意一个月份的缴费证明资料)依法不需要缴纳社会保障资金的供应商应提供相关资料证明。</w:t>
      </w:r>
    </w:p>
    <w:p>
      <w:pPr>
        <w:pStyle w:val="null3"/>
      </w:pPr>
      <w:r>
        <w:rPr>
          <w:rFonts w:ascii="仿宋_GB2312" w:hAnsi="仿宋_GB2312" w:cs="仿宋_GB2312" w:eastAsia="仿宋_GB2312"/>
        </w:rPr>
        <w:t>6、承诺函：提供具有履行本合同所必需的设备和专业技术能力(提供承诺函)。</w:t>
      </w:r>
    </w:p>
    <w:p>
      <w:pPr>
        <w:pStyle w:val="null3"/>
      </w:pPr>
      <w:r>
        <w:rPr>
          <w:rFonts w:ascii="仿宋_GB2312" w:hAnsi="仿宋_GB2312" w:cs="仿宋_GB2312" w:eastAsia="仿宋_GB2312"/>
        </w:rPr>
        <w:t>7、书面声明：参加政府采购活动前三年内，在经营活动中没有重大违法记录的书面声明。</w:t>
      </w:r>
    </w:p>
    <w:p>
      <w:pPr>
        <w:pStyle w:val="null3"/>
      </w:pPr>
      <w:r>
        <w:rPr>
          <w:rFonts w:ascii="仿宋_GB2312" w:hAnsi="仿宋_GB2312" w:cs="仿宋_GB2312" w:eastAsia="仿宋_GB2312"/>
        </w:rPr>
        <w:t>8、企业资质：供应商应具备建设行政主管部门颁发的市政公用工程施工总承包三级及以上资质，并具有合格有效的安全生产许可证。</w:t>
      </w:r>
    </w:p>
    <w:p>
      <w:pPr>
        <w:pStyle w:val="null3"/>
      </w:pPr>
      <w:r>
        <w:rPr>
          <w:rFonts w:ascii="仿宋_GB2312" w:hAnsi="仿宋_GB2312" w:cs="仿宋_GB2312" w:eastAsia="仿宋_GB2312"/>
        </w:rPr>
        <w:t>9、信用截图：供应商不得为“信用中国”网站中列入失信被执行人、重大税收违法失信主体的投标单位、不得为中国政府采购网中政府采购严重违法失信行为记录名单中被财政部门禁止参加政府采购活动的投标单位。(提供网站截图或以代理机构开标当天查询结果为准)</w:t>
      </w:r>
    </w:p>
    <w:p>
      <w:pPr>
        <w:pStyle w:val="null3"/>
      </w:pPr>
      <w:r>
        <w:rPr>
          <w:rFonts w:ascii="仿宋_GB2312" w:hAnsi="仿宋_GB2312" w:cs="仿宋_GB2312" w:eastAsia="仿宋_GB2312"/>
        </w:rPr>
        <w:t>10、供应商基本信息及项目经理基本信息：供应商基本信息及项目经理基本信息应在“陕西建设网(http://js.shaanxi.gov.cn/)陕西省建筑市场监管与诚信信息发布平台"可查询。</w:t>
      </w:r>
    </w:p>
    <w:p>
      <w:pPr>
        <w:pStyle w:val="null3"/>
      </w:pPr>
      <w:r>
        <w:rPr>
          <w:rFonts w:ascii="仿宋_GB2312" w:hAnsi="仿宋_GB2312" w:cs="仿宋_GB2312" w:eastAsia="仿宋_GB2312"/>
        </w:rPr>
        <w:t>11、项目经理资质：供应商拟派项目经理须具备行业主管部门颁发的市政公用工程专业二级及以上注册建造师资质及有效的安全生产考核合格证书，在本单位注册且无在建工程的相关证明。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富平县老庙镇人民政府（本级）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富平县老庙镇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雷鸿锐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0913-8830010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骁拓工程咨询集团有限公司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陕西省西安市新城区西安市新城区幸福林带秦创智谷产业园EB区18号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王锦 何英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17392182520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 [2002]1980号）、《国家发展改革委办公厅关于招标代理服务收费有关问题的通知》（发改价 格[2003]857号）；《国家发展改革委关于降低部分建设项目收费标准规范收费行为等有关问 题的通知》（发改价格[2011]534号）规定的标准收费。收款账号如下：收款单位：骁拓工程咨询集团有限公司 开户银行：中国工商银行股份有限公司富平县支行 收款账号：2605 0406 0920 0296 589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富平县老庙镇人民政府（本级）</w:t>
      </w:r>
      <w:r>
        <w:rPr>
          <w:rFonts w:ascii="仿宋_GB2312" w:hAnsi="仿宋_GB2312" w:cs="仿宋_GB2312" w:eastAsia="仿宋_GB2312"/>
        </w:rPr>
        <w:t>和</w:t>
      </w:r>
      <w:r>
        <w:rPr>
          <w:rFonts w:ascii="仿宋_GB2312" w:hAnsi="仿宋_GB2312" w:cs="仿宋_GB2312" w:eastAsia="仿宋_GB2312"/>
        </w:rPr>
        <w:t>骁拓工程咨询集团有限公司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富平县老庙镇人民政府（本级）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骁拓工程咨询集团有限公司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富平县老庙镇人民政府（本级）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骁拓工程咨询集团有限公司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以合同最终约定为准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骁拓工程咨询集团有限公司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骁拓工程咨询集团有限公司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骁拓工程咨询集团有限公司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联系人：何英</w:t>
      </w:r>
    </w:p>
    <w:p>
      <w:pPr>
        <w:pStyle w:val="null3"/>
      </w:pPr>
      <w:r>
        <w:rPr>
          <w:rFonts w:ascii="仿宋_GB2312" w:hAnsi="仿宋_GB2312" w:cs="仿宋_GB2312" w:eastAsia="仿宋_GB2312"/>
        </w:rPr>
        <w:t>联系电话：17392182520</w:t>
      </w:r>
    </w:p>
    <w:p>
      <w:pPr>
        <w:pStyle w:val="null3"/>
      </w:pPr>
      <w:r>
        <w:rPr>
          <w:rFonts w:ascii="仿宋_GB2312" w:hAnsi="仿宋_GB2312" w:cs="仿宋_GB2312" w:eastAsia="仿宋_GB2312"/>
        </w:rPr>
        <w:t>地址：陕西省西安市新城区幸福林带 秦创智谷产业园EB区18号</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848,197.86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富平县老庙镇新店村综合提升改造项目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标的名称：富平县老庙镇新店村综合提升改造项目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详见技术要求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60日历天。2.付款方式：合同签订材料进场后，达到付款条件起10日内，甲方向乙方支付合同价款的30%作为预付款；乙方完成合同工程量80%时，达到付款条件起10日内，甲方向乙方支付至合同总价款的70%作为工程进度款；乙方完成全部工程量时，经甲方组织有关部门验收合格后，经政府相关审计部门审计完成后，达到付款条件起10日内，支付至审计结算价款的97%，剩余3%作为质保金，质保期满后，达到付款条件起10日内，一次性无息付清。3.质保期：照明设施设备为3年；道路工程和地面相关工程质保期为2年；建筑工程附属设施质保期为2年；绿化苗木质保期为1年；健身器材质保期为2年。4缺陷责任期：自竣工验收之日起1年。5质量要求：达到国家现行行业施工验收规范“合格”标准。6建设地点：陕西省渭南市富平县老庙镇新店村。7各供应商应根据“陕西省财政厅 陕财办采函[2023]14号文”《陕西省财政厅 关于省级预算单位全面推行政府采购项目电子化交易的通知》、“陕西省财政厅 陕财办采[2022]9号文”《政府采购项目电子 化交易规则》等文件的要求，做好人员配备、设施设备、系统操作的相应准备，熟悉并正确实施相关操作流程，承担由于操作 或其他因素造成的不利后果。8“若供应商的最后报价只有一个总价，则供应商应当提交相应调整部分的报价构成及明细， 并结合首次报价提供的已标价工程量清单，重新计算总报价。”为系统自动生成，无法更改，本项目二次报价只需填报项目总 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供应商认为有必要说明的其他问题.docx 供应商应提交的相关资格证明材料 资格审查资料.docx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度或2024年度年度经审计的财务报告（包含审计报告和审计报告中所涉及的财务报表和报表附注）或投标截止日前三个月内开户银行出具的资信证明文件基本账户信息证明文件或财政部门认可的政府采购专业担保机构开具的投标担保函。</w:t>
            </w:r>
          </w:p>
        </w:tc>
        <w:tc>
          <w:tcPr>
            <w:tcW w:type="dxa" w:w="1661"/>
          </w:tcPr>
          <w:p>
            <w:pPr>
              <w:pStyle w:val="null3"/>
            </w:pPr>
            <w:r>
              <w:rPr>
                <w:rFonts w:ascii="仿宋_GB2312" w:hAnsi="仿宋_GB2312" w:cs="仿宋_GB2312" w:eastAsia="仿宋_GB2312"/>
              </w:rPr>
              <w:t>供应商认为有必要说明的其他问题.docx 供应商应提交的相关资格证明材料 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供应商认为有必要说明的其他问题.docx 供应商应提交的相关资格证明材料 资格审查资料.docx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供应商参加本项目的合法授权人授权委托书;供应商应授权合法的人员参加投标全过程，其中法定代表人直接参加投标的，须出具法人身份证，并与营业执照上信息一致。法定代表人授权代表参加投标的，须出具法定代表人授权书及授权代表身份证、授权代表的本单位证明(养老保险缴纳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年度经审计的财务报告（包含审计报告和审计报告中所涉及的财务报表和报表附注）或投标截止日前三个月内开户银行出具的资信证明文件基本账户信息证明文件或财政部门认可的政府采购专业担保机构开具的投标担保函。</w:t>
            </w:r>
          </w:p>
        </w:tc>
        <w:tc>
          <w:tcPr>
            <w:tcW w:type="dxa" w:w="1661"/>
          </w:tcPr>
          <w:p>
            <w:pPr>
              <w:pStyle w:val="null3"/>
            </w:pPr>
            <w:r>
              <w:rPr>
                <w:rFonts w:ascii="仿宋_GB2312" w:hAnsi="仿宋_GB2312" w:cs="仿宋_GB2312" w:eastAsia="仿宋_GB2312"/>
              </w:rPr>
              <w:t>供应商认为有必要说明的其他问题.docx 供应商应提交的相关资格证明材料 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依法缴纳税收的良好记录(提供投标截止时间前六个月内任意一个月份依法纳税证明或无欠税证明)依法免税的供应商应提供相关资料证明。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依法缴纳社会保障资金的良好记录(提供投标截止时间前六个月内任意一个月份的缴费证明资料)依法不需要缴纳社会保障资金的供应商应提供相关资料证明。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提供具有履行本合同所必需的设备和专业技术能力(提供承诺函)。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供应商应具备建设行政主管部门颁发的市政公用工程施工总承包三级及以上资质，并具有合格有效的安全生产许可证。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中列入失信被执行人、重大税收违法失信主体的投标单位、不得为中国政府采购网中政府采购严重违法失信行为记录名单中被财政部门禁止参加政府采购活动的投标单位。(提供网站截图或以代理机构开标当天查询结果为准)</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供应商拟派项目经理须具备行业主管部门颁发的市政公用工程专业二级及以上注册建造师资质及有效的安全生产考核合格证书，在本单位注册且无在建工程的相关证明。</w:t>
            </w:r>
          </w:p>
        </w:tc>
        <w:tc>
          <w:tcPr>
            <w:tcW w:type="dxa" w:w="1661"/>
          </w:tcPr>
          <w:p>
            <w:pPr>
              <w:pStyle w:val="null3"/>
            </w:pPr>
            <w:r>
              <w:rPr>
                <w:rFonts w:ascii="仿宋_GB2312" w:hAnsi="仿宋_GB2312" w:cs="仿宋_GB2312" w:eastAsia="仿宋_GB2312"/>
              </w:rPr>
              <w:t>供应商应提交的相关资格证明材料 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磋商响应文件齐全，无遗漏</w:t>
            </w:r>
          </w:p>
        </w:tc>
        <w:tc>
          <w:tcPr>
            <w:tcW w:type="dxa" w:w="1661"/>
          </w:tcPr>
          <w:p>
            <w:pPr>
              <w:pStyle w:val="null3"/>
            </w:pPr>
            <w:r>
              <w:rPr>
                <w:rFonts w:ascii="仿宋_GB2312" w:hAnsi="仿宋_GB2312" w:cs="仿宋_GB2312" w:eastAsia="仿宋_GB2312"/>
              </w:rPr>
              <w:t>响应文件封面 供应商认为有必要说明的其他问题.docx 技术、服务及其他要求响应文件.docx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磋商文件响应程度</w:t>
            </w:r>
          </w:p>
        </w:tc>
        <w:tc>
          <w:tcPr>
            <w:tcW w:type="dxa" w:w="3322"/>
          </w:tcPr>
          <w:p>
            <w:pPr>
              <w:pStyle w:val="null3"/>
            </w:pPr>
            <w:r>
              <w:rPr>
                <w:rFonts w:ascii="仿宋_GB2312" w:hAnsi="仿宋_GB2312" w:cs="仿宋_GB2312" w:eastAsia="仿宋_GB2312"/>
              </w:rPr>
              <w:t>要求全面响应，不能有任何采购人不能接收的附加条件</w:t>
            </w:r>
          </w:p>
        </w:tc>
        <w:tc>
          <w:tcPr>
            <w:tcW w:type="dxa" w:w="1661"/>
          </w:tcPr>
          <w:p>
            <w:pPr>
              <w:pStyle w:val="null3"/>
            </w:pPr>
            <w:r>
              <w:rPr>
                <w:rFonts w:ascii="仿宋_GB2312" w:hAnsi="仿宋_GB2312" w:cs="仿宋_GB2312" w:eastAsia="仿宋_GB2312"/>
              </w:rPr>
              <w:t>供应商认为有必要说明的其他问题.docx 技术、服务及其他要求响应文件.docx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报价唯一性</w:t>
            </w:r>
          </w:p>
        </w:tc>
        <w:tc>
          <w:tcPr>
            <w:tcW w:type="dxa" w:w="3322"/>
          </w:tcPr>
          <w:p>
            <w:pPr>
              <w:pStyle w:val="null3"/>
            </w:pPr>
            <w:r>
              <w:rPr>
                <w:rFonts w:ascii="仿宋_GB2312" w:hAnsi="仿宋_GB2312" w:cs="仿宋_GB2312" w:eastAsia="仿宋_GB2312"/>
              </w:rPr>
              <w:t>只有一个有效报价，不得超过采购预算金额或者最高限价</w:t>
            </w:r>
          </w:p>
        </w:tc>
        <w:tc>
          <w:tcPr>
            <w:tcW w:type="dxa" w:w="1661"/>
          </w:tcPr>
          <w:p>
            <w:pPr>
              <w:pStyle w:val="null3"/>
            </w:pPr>
            <w:r>
              <w:rPr>
                <w:rFonts w:ascii="仿宋_GB2312" w:hAnsi="仿宋_GB2312" w:cs="仿宋_GB2312" w:eastAsia="仿宋_GB2312"/>
              </w:rPr>
              <w:t>已标价工程量清单 报价函 供应商认为有必要说明的其他问题.docx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供应商认为有必要说明的其他问题.docx 技术、服务及其他要求响应文件.docx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供应商认为有必要说明的其他问题.docx 技术、服务及其他要求响应文件.docx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缺陷责任期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供应商认为有必要说明的其他问题.docx 技术、服务及其他要求响应文件.docx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供应商认为有必要说明的其他问题.docx 技术、服务及其他要求响应文件.docx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供应商认为有必要说明的其他问题.docx 技术、服务及其他要求响应文件.docx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已标价清单</w:t>
            </w:r>
          </w:p>
        </w:tc>
        <w:tc>
          <w:tcPr>
            <w:tcW w:type="dxa" w:w="3322"/>
          </w:tcPr>
          <w:p>
            <w:pPr>
              <w:pStyle w:val="null3"/>
            </w:pPr>
            <w:r>
              <w:rPr>
                <w:rFonts w:ascii="仿宋_GB2312" w:hAnsi="仿宋_GB2312" w:cs="仿宋_GB2312" w:eastAsia="仿宋_GB2312"/>
              </w:rPr>
              <w:t>应符合磋商文件给出的工程量清单范围和数量</w:t>
            </w:r>
          </w:p>
        </w:tc>
        <w:tc>
          <w:tcPr>
            <w:tcW w:type="dxa" w:w="1661"/>
          </w:tcPr>
          <w:p>
            <w:pPr>
              <w:pStyle w:val="null3"/>
            </w:pPr>
            <w:r>
              <w:rPr>
                <w:rFonts w:ascii="仿宋_GB2312" w:hAnsi="仿宋_GB2312" w:cs="仿宋_GB2312" w:eastAsia="仿宋_GB2312"/>
              </w:rPr>
              <w:t>已标价工程量清单 供应商认为有必要说明的其他问题.docx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①措施科学合理、针对性强、切实可行且内容完整详细的得7分； ②措施基本科学合理、针对性较强、具有可行且性且内容基本完整详细得4分； ③措施描述一般、无针对性、可行性欠缺内容编制粗略的得1分；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技术、服务及其他要求响应文件.docx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①措施科学合理、针对性强、切实可行且内容完整详细的得7分； ②措施基本科学合理、针对性较强、具有可行且性且内容基本完整详细得4分； ③措施描述一般、无针对性、可行性欠缺内容编制粗略的得1分；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技术、服务及其他要求响应文件.docx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①措施科学合理、针对性强、切实可行且内容完整详细的得7分； ②措施基本科学合理、针对性较强、具有可行且性且内容基本完整详细得4分； ③措施描述一般、无针对性、可行性欠缺内容编制粗略的得1分；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技术、服务及其他要求响应文件.docx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根据人员配置的齐全程度等综合比得分具有五大员（质量员、安全员、施工员、材料员、资料员）上岗证书（安全员须含安全生产考核合格证）的每证得1分；有相应职称证（初级及以上均可）的每证加1分，共计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技术、服务及其他要求响应文件.docx</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具有相关专业高级工程师及以上职称得 2 分，具有工程师职称得 1 分；否则不得分（以职称证为准）.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①方案科学合理、针对性强、切实可行且内容完整详细的得15分； ②措施基本科学合理、针对性较强、具有可行且性且内容基本完整详细得8分； ③措施描述一般、无针对性、可行性欠缺内容编制粗略的得1分；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技术、服务及其他要求响应文件.docx</w:t>
            </w:r>
          </w:p>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主要施工设备及劳动力计划</w:t>
            </w:r>
          </w:p>
        </w:tc>
        <w:tc>
          <w:tcPr>
            <w:tcW w:type="dxa" w:w="2492"/>
          </w:tcPr>
          <w:p>
            <w:pPr>
              <w:pStyle w:val="null3"/>
            </w:pPr>
            <w:r>
              <w:rPr>
                <w:rFonts w:ascii="仿宋_GB2312" w:hAnsi="仿宋_GB2312" w:cs="仿宋_GB2312" w:eastAsia="仿宋_GB2312"/>
              </w:rPr>
              <w:t>①计划安排科学合理、针对性强、切实可行且内容完整详细的得7分； ②措施基本科学合理、针对性较强、具有可行且性且内容基本完整详细得4分； ③措施描述一般、无针对性、可行性欠缺内容编制粗略的得1分；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供应商认为有必要说明的其他问题.docx</w:t>
            </w:r>
          </w:p>
          <w:p>
            <w:pPr>
              <w:pStyle w:val="null3"/>
            </w:pPr>
            <w:r>
              <w:rPr>
                <w:rFonts w:ascii="仿宋_GB2312" w:hAnsi="仿宋_GB2312" w:cs="仿宋_GB2312" w:eastAsia="仿宋_GB2312"/>
              </w:rPr>
              <w:t>技术、服务及其他要求响应文件.docx</w:t>
            </w:r>
          </w:p>
        </w:tc>
      </w:tr>
      <w:tr>
        <w:tc>
          <w:tcPr>
            <w:tcW w:type="dxa" w:w="831"/>
            <w:vMerge/>
          </w:tcPr>
          <w:p/>
        </w:tc>
        <w:tc>
          <w:tcPr>
            <w:tcW w:type="dxa" w:w="1661"/>
          </w:tcPr>
          <w:p>
            <w:pPr>
              <w:pStyle w:val="null3"/>
            </w:pPr>
            <w:r>
              <w:rPr>
                <w:rFonts w:ascii="仿宋_GB2312" w:hAnsi="仿宋_GB2312" w:cs="仿宋_GB2312" w:eastAsia="仿宋_GB2312"/>
              </w:rPr>
              <w:t>承诺函（对农民工工资、不转包、不分包等的承诺）</w:t>
            </w:r>
          </w:p>
        </w:tc>
        <w:tc>
          <w:tcPr>
            <w:tcW w:type="dxa" w:w="2492"/>
          </w:tcPr>
          <w:p>
            <w:pPr>
              <w:pStyle w:val="null3"/>
            </w:pPr>
            <w:r>
              <w:rPr>
                <w:rFonts w:ascii="仿宋_GB2312" w:hAnsi="仿宋_GB2312" w:cs="仿宋_GB2312" w:eastAsia="仿宋_GB2312"/>
              </w:rPr>
              <w:t>根据供应商做出的承诺内容进行赋分： ①编制内容详细、完整的得2分； ②编制内容基本完整的得1分； 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1.近三年完成的业绩一项得1分，最多得2分（2022 年10月 1 日至今类似工程：须附工程业绩中标通知书或合同专用条款或竣工验收证明材料复印件或扫描件，并加盖公章）； 2.具有相关专业高级工程师及以上职称得 2分，具有工程师职称得 1 分；否则不得分（以职称证为准）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供应商认为有必要说明的其他问题.docx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01月至今完成的类似业绩，一项得3分，最多得9分。（须附类似项目业绩的成交（中标）通知书或者合同或竣工验收证明材料复印件或者扫描件，并加盖公章），未提供不得分。以提供证明资料落款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满足磋商文件要求且最后报价最低的供应商的价格为磋商基准价得30分，其他各供应商的最后磋商报价得分按下列公式计算:(磋商基准价/最后磋商报价)x30%x100分 注:落实政府采购政策见供应商须知前附表。</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详见附件：技术、服务及其他要求响应文件.docx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