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版本号：FT2025-CGZB-11030120251113004</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富平县张桥镇念田村基础设施建设项目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FT2025-CGZB-110301</w:t>
      </w:r>
      <w:r>
        <w:br/>
      </w:r>
      <w:r>
        <w:br/>
      </w:r>
      <w:r>
        <w:br/>
      </w:r>
    </w:p>
    <w:p>
      <w:pPr>
        <w:pStyle w:val="null3"/>
        <w:jc w:val="center"/>
        <w:outlineLvl w:val="2"/>
      </w:pPr>
      <w:r>
        <w:rPr>
          <w:rFonts w:ascii="仿宋_GB2312" w:hAnsi="仿宋_GB2312" w:cs="仿宋_GB2312" w:eastAsia="仿宋_GB2312"/>
          <w:sz w:val="28"/>
          <w:b/>
        </w:rPr>
        <w:t>富平县张桥镇人民政府（本级）</w:t>
      </w:r>
    </w:p>
    <w:p>
      <w:pPr>
        <w:pStyle w:val="null3"/>
        <w:jc w:val="center"/>
        <w:outlineLvl w:val="2"/>
      </w:pPr>
      <w:r>
        <w:rPr>
          <w:rFonts w:ascii="仿宋_GB2312" w:hAnsi="仿宋_GB2312" w:cs="仿宋_GB2312" w:eastAsia="仿宋_GB2312"/>
          <w:sz w:val="28"/>
          <w:b/>
        </w:rPr>
        <w:t>陕西奋泰项目管理有限公司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陕西奋泰项目管理有限公司</w:t>
      </w:r>
      <w:r>
        <w:rPr>
          <w:rFonts w:ascii="仿宋_GB2312" w:hAnsi="仿宋_GB2312" w:cs="仿宋_GB2312" w:eastAsia="仿宋_GB2312"/>
        </w:rPr>
        <w:t>（以下简称“代理机构”）受</w:t>
      </w:r>
      <w:r>
        <w:rPr>
          <w:rFonts w:ascii="仿宋_GB2312" w:hAnsi="仿宋_GB2312" w:cs="仿宋_GB2312" w:eastAsia="仿宋_GB2312"/>
        </w:rPr>
        <w:t>富平县张桥镇人民政府（本级）</w:t>
      </w:r>
      <w:r>
        <w:rPr>
          <w:rFonts w:ascii="仿宋_GB2312" w:hAnsi="仿宋_GB2312" w:cs="仿宋_GB2312" w:eastAsia="仿宋_GB2312"/>
        </w:rPr>
        <w:t>委托，拟对</w:t>
      </w:r>
      <w:r>
        <w:rPr>
          <w:rFonts w:ascii="仿宋_GB2312" w:hAnsi="仿宋_GB2312" w:cs="仿宋_GB2312" w:eastAsia="仿宋_GB2312"/>
        </w:rPr>
        <w:t>富平县张桥镇念田村基础设施建设项目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FT2025-CGZB-110301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富平县张桥镇念田村基础设施建设项目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破除重修混凝土道路，新修混凝土道路，排水管网等工程。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采购包1（富平县张桥镇念田村基础设施建设项目）：属于专门面向中小企业采购。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1、营业执照：合法注册的企业提供营业执照（有统一社会信用代码）并附企业年度报告；事业法人提供事业单位法人证书、组织机构代码证书；其他组织应提供合法证明文件；自然人提供身份证；</w:t>
      </w:r>
    </w:p>
    <w:p>
      <w:pPr>
        <w:pStyle w:val="null3"/>
      </w:pPr>
      <w:r>
        <w:rPr>
          <w:rFonts w:ascii="仿宋_GB2312" w:hAnsi="仿宋_GB2312" w:cs="仿宋_GB2312" w:eastAsia="仿宋_GB2312"/>
        </w:rPr>
        <w:t>2、授权委托书：法定代表人授权委托书（附法定代表人、被授权人身份证复印件）；法定代表人参加投标只须提供法定代表人身份证明（附法定代表人身份证复印件）；</w:t>
      </w:r>
    </w:p>
    <w:p>
      <w:pPr>
        <w:pStyle w:val="null3"/>
      </w:pPr>
      <w:r>
        <w:rPr>
          <w:rFonts w:ascii="仿宋_GB2312" w:hAnsi="仿宋_GB2312" w:cs="仿宋_GB2312" w:eastAsia="仿宋_GB2312"/>
        </w:rPr>
        <w:t>3、企业资质：具备市政公用工程施工总承包三级及以上资质或建筑工程施工总承包三级及以上资质；</w:t>
      </w:r>
    </w:p>
    <w:p>
      <w:pPr>
        <w:pStyle w:val="null3"/>
      </w:pPr>
      <w:r>
        <w:rPr>
          <w:rFonts w:ascii="仿宋_GB2312" w:hAnsi="仿宋_GB2312" w:cs="仿宋_GB2312" w:eastAsia="仿宋_GB2312"/>
        </w:rPr>
        <w:t>4、安全生产许可证：具有建设行政主管部门核发有效的安全生产许可证；</w:t>
      </w:r>
    </w:p>
    <w:p>
      <w:pPr>
        <w:pStyle w:val="null3"/>
      </w:pPr>
      <w:r>
        <w:rPr>
          <w:rFonts w:ascii="仿宋_GB2312" w:hAnsi="仿宋_GB2312" w:cs="仿宋_GB2312" w:eastAsia="仿宋_GB2312"/>
        </w:rPr>
        <w:t>5、项目经理：拟派项目经理具备市政公用工程注册建造师二级或建筑工程专业二级注册建造师及以上资格和有效的安全生产考核合格证书，提供项目经理无在建工程的相关证明材料或承诺书；</w:t>
      </w:r>
    </w:p>
    <w:p>
      <w:pPr>
        <w:pStyle w:val="null3"/>
      </w:pPr>
      <w:r>
        <w:rPr>
          <w:rFonts w:ascii="仿宋_GB2312" w:hAnsi="仿宋_GB2312" w:cs="仿宋_GB2312" w:eastAsia="仿宋_GB2312"/>
        </w:rPr>
        <w:t>6、财务状况报告：提供2023年度或2024年度经审计的财务报告（成立时间至提交磋商响应文件截止时间不足一年的可提供成立后任意时段的财务报表）；</w:t>
      </w:r>
    </w:p>
    <w:p>
      <w:pPr>
        <w:pStyle w:val="null3"/>
      </w:pPr>
      <w:r>
        <w:rPr>
          <w:rFonts w:ascii="仿宋_GB2312" w:hAnsi="仿宋_GB2312" w:cs="仿宋_GB2312" w:eastAsia="仿宋_GB2312"/>
        </w:rPr>
        <w:t>7、缴纳税收：提供依法缴纳税收的良好记录（提供递交磋商响应文件截止时间前六个月内任意一个月份的缴纳凭据复印件并加盖单位公章。依法免税或开标前一年内零申报的供应商应提供相关证明文件）；</w:t>
      </w:r>
    </w:p>
    <w:p>
      <w:pPr>
        <w:pStyle w:val="null3"/>
      </w:pPr>
      <w:r>
        <w:rPr>
          <w:rFonts w:ascii="仿宋_GB2312" w:hAnsi="仿宋_GB2312" w:cs="仿宋_GB2312" w:eastAsia="仿宋_GB2312"/>
        </w:rPr>
        <w:t>8、社会保障资金缴纳证明：提供依法缴纳社会保障资金的良好记录（提供递交磋商响应文件截止时间前六个月内任意一个月份的缴纳凭据复印件并加盖单位公章。依法不需要缴纳社会保障资金的供应商应提供相关证明文件）；</w:t>
      </w:r>
    </w:p>
    <w:p>
      <w:pPr>
        <w:pStyle w:val="null3"/>
      </w:pPr>
      <w:r>
        <w:rPr>
          <w:rFonts w:ascii="仿宋_GB2312" w:hAnsi="仿宋_GB2312" w:cs="仿宋_GB2312" w:eastAsia="仿宋_GB2312"/>
        </w:rPr>
        <w:t>9、信誉情况：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p>
      <w:pPr>
        <w:pStyle w:val="null3"/>
      </w:pPr>
      <w:r>
        <w:rPr>
          <w:rFonts w:ascii="仿宋_GB2312" w:hAnsi="仿宋_GB2312" w:cs="仿宋_GB2312" w:eastAsia="仿宋_GB2312"/>
        </w:rPr>
        <w:t>10、书面声明：提供近三年内在经营活动中无重大违法记录的书面声明；</w:t>
      </w:r>
    </w:p>
    <w:p>
      <w:pPr>
        <w:pStyle w:val="null3"/>
      </w:pPr>
      <w:r>
        <w:rPr>
          <w:rFonts w:ascii="仿宋_GB2312" w:hAnsi="仿宋_GB2312" w:cs="仿宋_GB2312" w:eastAsia="仿宋_GB2312"/>
        </w:rPr>
        <w:t>11、投标保证金：a.提供磋商保证金转账凭证和基本存款账户信息证明资料复印件或扫描件；b.提供金融机构、担保机构出具的保函复印件或扫描件；以上两种方式二选一，复印件或扫描件均须加盖公章；</w:t>
      </w:r>
    </w:p>
    <w:p>
      <w:pPr>
        <w:pStyle w:val="null3"/>
      </w:pPr>
      <w:r>
        <w:rPr>
          <w:rFonts w:ascii="仿宋_GB2312" w:hAnsi="仿宋_GB2312" w:cs="仿宋_GB2312" w:eastAsia="仿宋_GB2312"/>
        </w:rPr>
        <w:t>12、书面声明：提供单位负责人为同一人或者存在直接控股、管理关系的不同供应商，不得参加同一合同项下的政府采购活动的书面声明；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13、说明及承诺：提供具有履行本合同所必需的设备和专业技术能力的说明及承诺；</w:t>
      </w:r>
    </w:p>
    <w:p>
      <w:pPr>
        <w:pStyle w:val="null3"/>
      </w:pPr>
      <w:r>
        <w:rPr>
          <w:rFonts w:ascii="仿宋_GB2312" w:hAnsi="仿宋_GB2312" w:cs="仿宋_GB2312" w:eastAsia="仿宋_GB2312"/>
        </w:rPr>
        <w:t>14、中小企业声明函：本项目专门面向中小企业采购，供应商提供《中小企业声明函》。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富平县张桥镇人民政府（本级）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陕西省渭南市富平县张桥镇街道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富平县张桥镇人民政府（本级）经办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13571333333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陕西奋泰项目管理有限公司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陕西省西安市浐灞生态区欧亚大道以南广运潭东路以西欧亚国际三期(商业)项目C地块1幢2单元8层20802号房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18829205929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蒋股长</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开户名称：陕西奋泰项目管理有限公司</w:t>
            </w:r>
          </w:p>
          <w:p>
            <w:pPr>
              <w:pStyle w:val="null3"/>
            </w:pPr>
            <w:r>
              <w:rPr>
                <w:rFonts w:ascii="仿宋_GB2312" w:hAnsi="仿宋_GB2312" w:cs="仿宋_GB2312" w:eastAsia="仿宋_GB2312"/>
              </w:rPr>
              <w:t>开户银行：中国建设银行股份有限公司富平县东新街支行</w:t>
            </w:r>
          </w:p>
          <w:p>
            <w:pPr>
              <w:pStyle w:val="null3"/>
            </w:pPr>
            <w:r>
              <w:rPr>
                <w:rFonts w:ascii="仿宋_GB2312" w:hAnsi="仿宋_GB2312" w:cs="仿宋_GB2312" w:eastAsia="仿宋_GB2312"/>
              </w:rPr>
              <w:t>银行账号：61050164831500002007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招标代理服务费参照国家计委印发《招标代理服务收费管理暂行办法》的通知（计价格〔2002〕1980号）计算，按国家规定标准收取，按照《国家发展改革委办公厅关于招标代理服务收费有关问题的通知》（发改办价格〔2003〕857号）规定向成交供应商收取。造价咨询服务费按（陕价行发〔2014〕88号文件）计算收取，由成交供应商支付。计算基数为经审定后的最高限价。 若本次招标失败（非代理机构原因），招标代理服务费和造价咨询服务费由采购人支付。具体金额以代理公司开具的税票金额为准，在领取成交通知书时向采购代理机构一次付清（现金或转账）。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富平县张桥镇人民政府（本级）</w:t>
      </w:r>
      <w:r>
        <w:rPr>
          <w:rFonts w:ascii="仿宋_GB2312" w:hAnsi="仿宋_GB2312" w:cs="仿宋_GB2312" w:eastAsia="仿宋_GB2312"/>
        </w:rPr>
        <w:t>和</w:t>
      </w:r>
      <w:r>
        <w:rPr>
          <w:rFonts w:ascii="仿宋_GB2312" w:hAnsi="仿宋_GB2312" w:cs="仿宋_GB2312" w:eastAsia="仿宋_GB2312"/>
        </w:rPr>
        <w:t>陕西奋泰项目管理有限公司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富平县张桥镇人民政府（本级）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陕西奋泰项目管理有限公司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富平县张桥镇人民政府（本级）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陕西奋泰项目管理有限公司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陕西奋泰项目管理有限公司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陕西奋泰项目管理有限公司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陕西奋泰项目管理有限公司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联系人：刘菲</w:t>
      </w:r>
    </w:p>
    <w:p>
      <w:pPr>
        <w:pStyle w:val="null3"/>
      </w:pPr>
      <w:r>
        <w:rPr>
          <w:rFonts w:ascii="仿宋_GB2312" w:hAnsi="仿宋_GB2312" w:cs="仿宋_GB2312" w:eastAsia="仿宋_GB2312"/>
        </w:rPr>
        <w:t>联系电话：18829205929</w:t>
      </w:r>
    </w:p>
    <w:p>
      <w:pPr>
        <w:pStyle w:val="null3"/>
      </w:pPr>
      <w:r>
        <w:rPr>
          <w:rFonts w:ascii="仿宋_GB2312" w:hAnsi="仿宋_GB2312" w:cs="仿宋_GB2312" w:eastAsia="仿宋_GB2312"/>
        </w:rPr>
        <w:t>地址： 陕西省西安市浐灞生态区欧亚大道以南广运潭东路以西欧亚国际三期(商业)项目C地块1幢2单元8层20802号房</w:t>
      </w:r>
    </w:p>
    <w:p>
      <w:pPr>
        <w:pStyle w:val="null3"/>
      </w:pPr>
      <w:r>
        <w:rPr>
          <w:rFonts w:ascii="仿宋_GB2312" w:hAnsi="仿宋_GB2312" w:cs="仿宋_GB2312" w:eastAsia="仿宋_GB2312"/>
        </w:rPr>
        <w:t>邮编：710024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993,550.86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富平县张桥镇念田村基础设施建设项目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标的名称：富平县张桥镇念田村基础设施建设项目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44"/>
              </w:rPr>
              <w:t>编制说明</w:t>
            </w:r>
          </w:p>
          <w:p>
            <w:pPr>
              <w:pStyle w:val="null3"/>
              <w:spacing w:before="150" w:after="150"/>
              <w:jc w:val="both"/>
            </w:pPr>
            <w:r>
              <w:rPr>
                <w:rFonts w:ascii="仿宋_GB2312" w:hAnsi="仿宋_GB2312" w:cs="仿宋_GB2312" w:eastAsia="仿宋_GB2312"/>
                <w:sz w:val="24"/>
              </w:rPr>
              <w:t>一、工程概况：</w:t>
            </w:r>
          </w:p>
          <w:p>
            <w:pPr>
              <w:pStyle w:val="null3"/>
              <w:spacing w:before="150" w:after="150"/>
              <w:ind w:firstLine="480"/>
              <w:jc w:val="both"/>
            </w:pPr>
            <w:r>
              <w:rPr>
                <w:rFonts w:ascii="仿宋_GB2312" w:hAnsi="仿宋_GB2312" w:cs="仿宋_GB2312" w:eastAsia="仿宋_GB2312"/>
                <w:sz w:val="24"/>
                <w:color w:val="000000"/>
              </w:rPr>
              <w:t>富平县张桥镇念田村基础设施建设项目</w:t>
            </w:r>
            <w:r>
              <w:rPr>
                <w:rFonts w:ascii="仿宋_GB2312" w:hAnsi="仿宋_GB2312" w:cs="仿宋_GB2312" w:eastAsia="仿宋_GB2312"/>
                <w:sz w:val="24"/>
                <w:color w:val="000000"/>
              </w:rPr>
              <w:t>，主要建设内容为</w:t>
            </w:r>
            <w:r>
              <w:rPr>
                <w:rFonts w:ascii="仿宋_GB2312" w:hAnsi="仿宋_GB2312" w:cs="仿宋_GB2312" w:eastAsia="仿宋_GB2312"/>
                <w:sz w:val="24"/>
                <w:color w:val="000000"/>
              </w:rPr>
              <w:t>破除重修混凝土道路，新修混凝土道路，排水管网等工程。</w:t>
            </w:r>
          </w:p>
          <w:p>
            <w:pPr>
              <w:pStyle w:val="null3"/>
              <w:spacing w:before="150" w:after="150"/>
              <w:jc w:val="both"/>
            </w:pPr>
            <w:r>
              <w:rPr>
                <w:rFonts w:ascii="仿宋_GB2312" w:hAnsi="仿宋_GB2312" w:cs="仿宋_GB2312" w:eastAsia="仿宋_GB2312"/>
                <w:sz w:val="24"/>
                <w:color w:val="000000"/>
              </w:rPr>
              <w:t>二、编制依据：</w:t>
            </w:r>
          </w:p>
          <w:p>
            <w:pPr>
              <w:pStyle w:val="null3"/>
              <w:spacing w:before="150" w:after="150"/>
              <w:ind w:firstLine="480"/>
              <w:jc w:val="both"/>
            </w:pPr>
            <w:r>
              <w:rPr>
                <w:rFonts w:ascii="仿宋_GB2312" w:hAnsi="仿宋_GB2312" w:cs="仿宋_GB2312" w:eastAsia="仿宋_GB2312"/>
                <w:sz w:val="24"/>
                <w:color w:val="000000"/>
              </w:rPr>
              <w:t>1. 施工设计图纸及相关资料；</w:t>
            </w:r>
          </w:p>
          <w:p>
            <w:pPr>
              <w:pStyle w:val="null3"/>
              <w:spacing w:before="150" w:after="150"/>
              <w:ind w:firstLine="480"/>
              <w:jc w:val="both"/>
            </w:pPr>
            <w:r>
              <w:rPr>
                <w:rFonts w:ascii="仿宋_GB2312" w:hAnsi="仿宋_GB2312" w:cs="仿宋_GB2312" w:eastAsia="仿宋_GB2312"/>
                <w:sz w:val="24"/>
                <w:color w:val="000000"/>
              </w:rPr>
              <w:t>2.《陕西省建设工程工程量清单计价标准及计算标准（2025）》；</w:t>
            </w:r>
          </w:p>
          <w:p>
            <w:pPr>
              <w:pStyle w:val="null3"/>
              <w:spacing w:before="150" w:after="150"/>
              <w:ind w:firstLine="480"/>
              <w:jc w:val="both"/>
            </w:pPr>
            <w:r>
              <w:rPr>
                <w:rFonts w:ascii="仿宋_GB2312" w:hAnsi="仿宋_GB2312" w:cs="仿宋_GB2312" w:eastAsia="仿宋_GB2312"/>
                <w:sz w:val="24"/>
                <w:color w:val="000000"/>
              </w:rPr>
              <w:t>3.《陕西省房屋建筑与装饰工程消耗量定额（2025）》；</w:t>
            </w:r>
          </w:p>
          <w:p>
            <w:pPr>
              <w:pStyle w:val="null3"/>
              <w:spacing w:before="150" w:after="150"/>
              <w:ind w:firstLine="480"/>
              <w:jc w:val="both"/>
            </w:pPr>
            <w:r>
              <w:rPr>
                <w:rFonts w:ascii="仿宋_GB2312" w:hAnsi="仿宋_GB2312" w:cs="仿宋_GB2312" w:eastAsia="仿宋_GB2312"/>
                <w:sz w:val="24"/>
                <w:color w:val="000000"/>
              </w:rPr>
              <w:t>4.《陕西市政工程消耗量定额（2025）》；</w:t>
            </w:r>
          </w:p>
          <w:p>
            <w:pPr>
              <w:pStyle w:val="null3"/>
              <w:spacing w:before="150" w:after="150"/>
              <w:ind w:firstLine="480"/>
              <w:jc w:val="both"/>
            </w:pPr>
            <w:r>
              <w:rPr>
                <w:rFonts w:ascii="仿宋_GB2312" w:hAnsi="仿宋_GB2312" w:cs="仿宋_GB2312" w:eastAsia="仿宋_GB2312"/>
                <w:sz w:val="24"/>
                <w:color w:val="000000"/>
              </w:rPr>
              <w:t>5.《陕西省房屋建筑与装饰工程基价表（2025）》；</w:t>
            </w:r>
          </w:p>
          <w:p>
            <w:pPr>
              <w:pStyle w:val="null3"/>
              <w:spacing w:before="150" w:after="150"/>
              <w:ind w:firstLine="480"/>
              <w:jc w:val="both"/>
            </w:pPr>
            <w:r>
              <w:rPr>
                <w:rFonts w:ascii="仿宋_GB2312" w:hAnsi="仿宋_GB2312" w:cs="仿宋_GB2312" w:eastAsia="仿宋_GB2312"/>
                <w:sz w:val="24"/>
                <w:color w:val="000000"/>
              </w:rPr>
              <w:t>6.《陕西省市政工程基价表（2025）》；</w:t>
            </w:r>
          </w:p>
          <w:p>
            <w:pPr>
              <w:pStyle w:val="null3"/>
              <w:spacing w:before="150" w:after="150"/>
              <w:ind w:firstLine="480"/>
              <w:jc w:val="both"/>
            </w:pPr>
            <w:r>
              <w:rPr>
                <w:rFonts w:ascii="仿宋_GB2312" w:hAnsi="仿宋_GB2312" w:cs="仿宋_GB2312" w:eastAsia="仿宋_GB2312"/>
                <w:sz w:val="24"/>
                <w:color w:val="000000"/>
              </w:rPr>
              <w:t>7. 主要材料价格依据《陕西工程造价管理信息》2025年（第9期）、《渭南工程造价信息》2025年（第四期）及当地市场价；</w:t>
            </w:r>
          </w:p>
          <w:p>
            <w:pPr>
              <w:pStyle w:val="null3"/>
              <w:spacing w:before="150" w:after="150"/>
              <w:ind w:firstLine="480"/>
              <w:jc w:val="both"/>
            </w:pPr>
            <w:r>
              <w:rPr>
                <w:rFonts w:ascii="仿宋_GB2312" w:hAnsi="仿宋_GB2312" w:cs="仿宋_GB2312" w:eastAsia="仿宋_GB2312"/>
                <w:sz w:val="24"/>
                <w:color w:val="000000"/>
              </w:rPr>
              <w:t>8. 采用广联达云计价平台GCCP7.0（7.5000.23.1）版本编制。</w:t>
            </w:r>
          </w:p>
          <w:p>
            <w:pPr>
              <w:pStyle w:val="null3"/>
              <w:spacing w:before="150" w:after="150"/>
              <w:jc w:val="both"/>
            </w:pPr>
            <w:r>
              <w:rPr>
                <w:rFonts w:ascii="仿宋_GB2312" w:hAnsi="仿宋_GB2312" w:cs="仿宋_GB2312" w:eastAsia="仿宋_GB2312"/>
                <w:sz w:val="24"/>
              </w:rPr>
              <w:t>三、编制范围：</w:t>
            </w:r>
          </w:p>
          <w:p>
            <w:pPr>
              <w:pStyle w:val="null3"/>
              <w:spacing w:before="150" w:after="150"/>
              <w:ind w:firstLine="480"/>
              <w:jc w:val="both"/>
            </w:pPr>
            <w:r>
              <w:rPr>
                <w:rFonts w:ascii="仿宋_GB2312" w:hAnsi="仿宋_GB2312" w:cs="仿宋_GB2312" w:eastAsia="仿宋_GB2312"/>
                <w:sz w:val="24"/>
              </w:rPr>
              <w:t>施工设计图纸及相关资料</w:t>
            </w:r>
            <w:r>
              <w:rPr>
                <w:rFonts w:ascii="仿宋_GB2312" w:hAnsi="仿宋_GB2312" w:cs="仿宋_GB2312" w:eastAsia="仿宋_GB2312"/>
                <w:sz w:val="24"/>
                <w:color w:val="000000"/>
              </w:rPr>
              <w:t>。</w:t>
            </w:r>
          </w:p>
          <w:p>
            <w:pPr>
              <w:pStyle w:val="null3"/>
              <w:spacing w:before="150" w:after="150"/>
              <w:jc w:val="both"/>
            </w:pPr>
            <w:r>
              <w:rPr>
                <w:rFonts w:ascii="仿宋_GB2312" w:hAnsi="仿宋_GB2312" w:cs="仿宋_GB2312" w:eastAsia="仿宋_GB2312"/>
                <w:sz w:val="24"/>
              </w:rPr>
              <w:t>四、其他说明：</w:t>
            </w:r>
          </w:p>
          <w:p>
            <w:pPr>
              <w:pStyle w:val="null3"/>
              <w:spacing w:before="150" w:after="150"/>
              <w:ind w:firstLine="480"/>
              <w:jc w:val="both"/>
            </w:pPr>
            <w:r>
              <w:rPr>
                <w:rFonts w:ascii="仿宋_GB2312" w:hAnsi="仿宋_GB2312" w:cs="仿宋_GB2312" w:eastAsia="仿宋_GB2312"/>
                <w:sz w:val="24"/>
              </w:rPr>
              <w:t>1.混凝土采用商品混凝土；</w:t>
            </w:r>
          </w:p>
          <w:p>
            <w:pPr>
              <w:pStyle w:val="null3"/>
              <w:spacing w:before="150" w:after="150"/>
              <w:ind w:firstLine="480"/>
              <w:jc w:val="both"/>
            </w:pPr>
            <w:r>
              <w:rPr>
                <w:rFonts w:ascii="仿宋_GB2312" w:hAnsi="仿宋_GB2312" w:cs="仿宋_GB2312" w:eastAsia="仿宋_GB2312"/>
                <w:sz w:val="24"/>
              </w:rPr>
              <w:t>2.砂浆采用预拌砂浆；</w:t>
            </w:r>
          </w:p>
          <w:p>
            <w:pPr>
              <w:pStyle w:val="null3"/>
              <w:spacing w:before="150" w:after="150"/>
              <w:ind w:firstLine="480"/>
              <w:jc w:val="both"/>
            </w:pPr>
            <w:r>
              <w:rPr>
                <w:rFonts w:ascii="仿宋_GB2312" w:hAnsi="仿宋_GB2312" w:cs="仿宋_GB2312" w:eastAsia="仿宋_GB2312"/>
                <w:sz w:val="24"/>
              </w:rPr>
              <w:t>3.未详尽事宜详见清单。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计划工期：60日历天；2、付款方式：签订合同5个工作日内支付30%预付款，达到付款条件起5日内，支付合同总金额的30.00%；按工程进度支付进度款，达到付款条件起7日内，支付合同总金额的40.00%；竣工验收合格后支付至97%，达到付款条件起6日内，支付合同总金额的27.00%；预留3%质量保证金，待质保期结束一次付清，达到付款条件起7日内，支付合同总金额的3.00%</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投标时供应商无需提供纸质版响应文件。成交供应商在领取成交通知书前将纸质版响应文件正本1份、副本2份、电子版（U 盘）文件1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供应商特定资格要求.docx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磋商响应文件提交截止日一年内银行出具的资信证明，④供应商注册时间截至磋商响应文件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技术服务合同条款及其他商务要求应答表 供应商特定资格要求.docx 响应函 强制优先采购产品承诺函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供应商特定资格要求.docx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法定代表人授权委托书（附法定代表人、被授权人身份证复印件）；法定代表人参加投标只须提供法定代表人身份证明（附法定代表人身份证复印件）；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具备市政公用工程施工总承包三级及以上资质或建筑工程施工总承包三级及以上资质；</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安全生产许可证</w:t>
            </w:r>
          </w:p>
        </w:tc>
        <w:tc>
          <w:tcPr>
            <w:tcW w:type="dxa" w:w="3322"/>
          </w:tcPr>
          <w:p>
            <w:pPr>
              <w:pStyle w:val="null3"/>
            </w:pPr>
            <w:r>
              <w:rPr>
                <w:rFonts w:ascii="仿宋_GB2312" w:hAnsi="仿宋_GB2312" w:cs="仿宋_GB2312" w:eastAsia="仿宋_GB2312"/>
              </w:rPr>
              <w:t>具有建设行政主管部门核发有效的安全生产许可证；</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拟派项目经理具备市政公用工程注册建造师二级或建筑工程专业二级注册建造师及以上资格和有效的安全生产考核合格证书，提供项目经理无在建工程的相关证明材料或承诺书；</w:t>
            </w:r>
          </w:p>
        </w:tc>
        <w:tc>
          <w:tcPr>
            <w:tcW w:type="dxa" w:w="1661"/>
          </w:tcPr>
          <w:p>
            <w:pPr>
              <w:pStyle w:val="null3"/>
            </w:pPr>
            <w:r>
              <w:rPr>
                <w:rFonts w:ascii="仿宋_GB2312" w:hAnsi="仿宋_GB2312" w:cs="仿宋_GB2312" w:eastAsia="仿宋_GB2312"/>
              </w:rPr>
              <w:t>项目管理机构组成表 标的清单 供应商特定资格要求.docx 主要人员简历表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缴纳税收</w:t>
            </w:r>
          </w:p>
        </w:tc>
        <w:tc>
          <w:tcPr>
            <w:tcW w:type="dxa" w:w="3322"/>
          </w:tcPr>
          <w:p>
            <w:pPr>
              <w:pStyle w:val="null3"/>
            </w:pPr>
            <w:r>
              <w:rPr>
                <w:rFonts w:ascii="仿宋_GB2312" w:hAnsi="仿宋_GB2312" w:cs="仿宋_GB2312" w:eastAsia="仿宋_GB2312"/>
              </w:rPr>
              <w:t>提供依法缴纳税收的良好记录（提供递交磋商响应文件截止时间前六个月内任意一个月份的缴纳凭据复印件并加盖单位公章。依法免税或开标前一年内零申报的供应商应提供相关证明文件）；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提供依法缴纳社会保障资金的良好记录（提供递交磋商响应文件截止时间前六个月内任意一个月份的缴纳凭据复印件并加盖单位公章。依法不需要缴纳社会保障资金的供应商应提供相关证明文件）；</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信誉情况</w:t>
            </w:r>
          </w:p>
        </w:tc>
        <w:tc>
          <w:tcPr>
            <w:tcW w:type="dxa" w:w="3322"/>
          </w:tcPr>
          <w:p>
            <w:pPr>
              <w:pStyle w:val="null3"/>
            </w:pPr>
            <w:r>
              <w:rPr>
                <w:rFonts w:ascii="仿宋_GB2312" w:hAnsi="仿宋_GB2312" w:cs="仿宋_GB2312" w:eastAsia="仿宋_GB2312"/>
              </w:rPr>
              <w:t>a.投标截止日前不得为“信用中国”网站（www.creditchina.gov.cn）中列入失信被执行人、重大税收违法失信主体和政府采购严重违法失信行为记录名单的供应商；b.不得为“中国政府采购网”（www.ccgp.gov.cn）中政府采购严重违法失信行为信息记录名单中被财政部门禁止参加政府采购活动的供应商。附网站相关截图并加盖单位公章（最终以采购代理机构开标现场查询结果为准）；</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a.提供磋商保证金转账凭证和基本存款账户信息证明资料复印件或扫描件；b.提供金融机构、担保机构出具的保函复印件或扫描件；以上两种方式二选一，复印件或扫描件均须加盖公章；</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供应商特定资格要求.docx</w:t>
            </w:r>
          </w:p>
        </w:tc>
      </w:tr>
      <w:tr>
        <w:tc>
          <w:tcPr>
            <w:tcW w:type="dxa" w:w="831"/>
          </w:tcPr>
          <w:p>
            <w:pPr>
              <w:pStyle w:val="null3"/>
            </w:pPr>
            <w:r>
              <w:rPr>
                <w:rFonts w:ascii="仿宋_GB2312" w:hAnsi="仿宋_GB2312" w:cs="仿宋_GB2312" w:eastAsia="仿宋_GB2312"/>
              </w:rPr>
              <w:t>14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本项目专门面向中小企业采购，供应商提供《中小企业声明函》。</w:t>
            </w:r>
          </w:p>
        </w:tc>
        <w:tc>
          <w:tcPr>
            <w:tcW w:type="dxa" w:w="1661"/>
          </w:tcPr>
          <w:p>
            <w:pPr>
              <w:pStyle w:val="null3"/>
            </w:pPr>
            <w:r>
              <w:rPr>
                <w:rFonts w:ascii="仿宋_GB2312" w:hAnsi="仿宋_GB2312" w:cs="仿宋_GB2312" w:eastAsia="仿宋_GB2312"/>
              </w:rPr>
              <w:t>中小企业声明函 供应商特定资格要求.docx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供应商特定资格要求.docx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供应商特定资格要求.docx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（1）磋商报价符合唯一性要求；（2）第一次磋商报价表填写符合要求；（3）计量单位、报价货币均符合磋商文件要求；（4）未超过磋商文件规定的最高限价。</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其他磋商文件或法律法规明确规定响应无效的事项</w:t>
            </w:r>
          </w:p>
        </w:tc>
        <w:tc>
          <w:tcPr>
            <w:tcW w:type="dxa" w:w="3322"/>
          </w:tcPr>
          <w:p>
            <w:pPr>
              <w:pStyle w:val="null3"/>
            </w:pPr>
            <w:r>
              <w:rPr>
                <w:rFonts w:ascii="仿宋_GB2312" w:hAnsi="仿宋_GB2312" w:cs="仿宋_GB2312" w:eastAsia="仿宋_GB2312"/>
              </w:rPr>
              <w:t>无其他磋商文件或法律法规明确规定响应无效的事项</w:t>
            </w:r>
          </w:p>
        </w:tc>
        <w:tc>
          <w:tcPr>
            <w:tcW w:type="dxa" w:w="1661"/>
          </w:tcPr>
          <w:p>
            <w:pPr>
              <w:pStyle w:val="null3"/>
            </w:pPr>
            <w:r>
              <w:rPr>
                <w:rFonts w:ascii="仿宋_GB2312" w:hAnsi="仿宋_GB2312" w:cs="仿宋_GB2312" w:eastAsia="仿宋_GB2312"/>
              </w:rPr>
              <w:t>技术方案.docx 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供应商特定资格要求.docx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提供的针对本项目实际情况编制的项目实施方案（包含但不限于①施工方案、②工序方法、③现场可能发生的施工问题及相应的处理措施），由磋商小组进行评分：每项内容阐述主次分明，表述清晰的得 3 分，若仅提供内容，但未详细阐述的得 1.5 分。本项最高得9分；未提供或提供的内容存在明显不足或与本项目情况不符的不得分。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根据供应商针对本项目提供的质量控制方案（包含但不限于①质量目标、②质量保证措施），由磋商小组进行评分：每项内容阐述主次分明，表述清晰的得3分，若仅提供内容，但未详细阐述的得1.5 分。本项最高得6分；未提供或提供的内容存在明显不足或与本项目情况不符的不得分。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应急措施方案</w:t>
            </w:r>
          </w:p>
        </w:tc>
        <w:tc>
          <w:tcPr>
            <w:tcW w:type="dxa" w:w="2492"/>
          </w:tcPr>
          <w:p>
            <w:pPr>
              <w:pStyle w:val="null3"/>
            </w:pPr>
            <w:r>
              <w:rPr>
                <w:rFonts w:ascii="仿宋_GB2312" w:hAnsi="仿宋_GB2312" w:cs="仿宋_GB2312" w:eastAsia="仿宋_GB2312"/>
              </w:rPr>
              <w:t>根据供应商针对本项目提供的应急措施方案（包含但不限于①自然灾害、②防火防盗及停水断电、③机械伤害），由磋商小组进行评分：每项内容阐述主次分明，表述清晰的得3分，若仅提供内容，但未详细阐述的得1.5分。本项最高得9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文明施工措施计划</w:t>
            </w:r>
          </w:p>
        </w:tc>
        <w:tc>
          <w:tcPr>
            <w:tcW w:type="dxa" w:w="2492"/>
          </w:tcPr>
          <w:p>
            <w:pPr>
              <w:pStyle w:val="null3"/>
            </w:pPr>
            <w:r>
              <w:rPr>
                <w:rFonts w:ascii="仿宋_GB2312" w:hAnsi="仿宋_GB2312" w:cs="仿宋_GB2312" w:eastAsia="仿宋_GB2312"/>
              </w:rPr>
              <w:t>根据供应商提供的针对本项目提供的环保文明施工措施计划（包含但不限于①现场环境卫生保证及卫生管理措施、②文明施工措施及投入相应设施设备（如警示牌、洒水设备、清洁工具等），由磋商小组进行评分：每项内容阐述主次分明，表述清晰的得3分，若仅提供内容，但未详细阐述的得1.5分。本项最高得6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拟投入材料计划</w:t>
            </w:r>
          </w:p>
        </w:tc>
        <w:tc>
          <w:tcPr>
            <w:tcW w:type="dxa" w:w="2492"/>
          </w:tcPr>
          <w:p>
            <w:pPr>
              <w:pStyle w:val="null3"/>
            </w:pPr>
            <w:r>
              <w:rPr>
                <w:rFonts w:ascii="仿宋_GB2312" w:hAnsi="仿宋_GB2312" w:cs="仿宋_GB2312" w:eastAsia="仿宋_GB2312"/>
              </w:rPr>
              <w:t>根据供应商针对本项目提供的材料管理措施方案（包含但不限于①施工材料进场安排的合理性、②施工材料投入计划、③确保施工材料质量的保障方案），由磋商小组进行评分：每项内容阐述主次分明，表述清晰的得3分，若仅提供内容，但未详细阐述的得1.5 分。本项最高得9分；未提供或提供的内容存在明显不足或与本项目情况不符的不得分。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根据供应商针对本项目提供的施工进度计划（包含但不限于①总进度计划和施工进度表、②单位工程或分项工程施工进度计划、③进度保障措施），由磋商小组进行评分：每项内容阐述主次分明，表述清晰的得3分，若仅提供内容，但未详细阐述的得1.5分。本项最高得9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施工机械配备计划</w:t>
            </w:r>
          </w:p>
        </w:tc>
        <w:tc>
          <w:tcPr>
            <w:tcW w:type="dxa" w:w="2492"/>
          </w:tcPr>
          <w:p>
            <w:pPr>
              <w:pStyle w:val="null3"/>
            </w:pPr>
            <w:r>
              <w:rPr>
                <w:rFonts w:ascii="仿宋_GB2312" w:hAnsi="仿宋_GB2312" w:cs="仿宋_GB2312" w:eastAsia="仿宋_GB2312"/>
              </w:rPr>
              <w:t>根据供应商针对本项目提供的施工机械配备和材料投入计划（包含但不限于①施工机械配备、②机械进场计划），由磋商小组进行评分：每项内容阐述主次分明，表述清晰的得4分，若仅提供内容，但未详细阐述的得2分。本项最高得8分；未提供或提供的内容存在明显不足或与本项目情况不符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根据供应商针对本项目提供的项目组织管理机构配备（包括但不限于项目技术人等各专业人员及相关技工人员），由磋商小组进行评分：内容阐述主次分明，人员配置齐全合理，表述清晰的得5分，若仅提供内容，但未详细阐述的得2.5分。本项最高得5分；未提供或提供的内容存在明显不足或与本项目情况不符的不得分。 注：需提供拟投入人员的执业证书/技术岗位证书、职称证（若有）、学历证书、身份证等证书证件。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2022年01月至今完成的类似业绩，一项得3分，最多得9分。 注：1.须附类似项目业绩的成交（中标）通知书或合同或竣工验收证明材料复印件或扫描件，并加盖公章）； 2.以提供证明资料的落款时间为准。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将满足磋商文件要求且最后报价最低的供应商的价格作为磋商基准价，其价格分为满分（30分）； 其他供应商磋商报价得分=(磋商基准价／最后磋商报价)×30%×100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详见附件：供应商特定资格要求.docx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