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版本号：ZYXCG-2025010520251103001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富平县2025年度黄河流域山水林田湖草沙生态保护示范工程监理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ZYXCG-20250105</w:t>
      </w:r>
      <w:r>
        <w:br/>
      </w:r>
      <w:r>
        <w:br/>
      </w:r>
      <w:r>
        <w:br/>
      </w:r>
    </w:p>
    <w:p>
      <w:pPr>
        <w:pStyle w:val="null3"/>
        <w:jc w:val="center"/>
        <w:outlineLvl w:val="2"/>
      </w:pPr>
      <w:r>
        <w:rPr>
          <w:rFonts w:ascii="仿宋_GB2312" w:hAnsi="仿宋_GB2312" w:cs="仿宋_GB2312" w:eastAsia="仿宋_GB2312"/>
          <w:sz w:val="28"/>
          <w:b/>
        </w:rPr>
        <w:t>富平县自然资源局（本级）</w:t>
      </w:r>
    </w:p>
    <w:p>
      <w:pPr>
        <w:pStyle w:val="null3"/>
        <w:jc w:val="center"/>
        <w:outlineLvl w:val="2"/>
      </w:pPr>
      <w:r>
        <w:rPr>
          <w:rFonts w:ascii="仿宋_GB2312" w:hAnsi="仿宋_GB2312" w:cs="仿宋_GB2312" w:eastAsia="仿宋_GB2312"/>
          <w:sz w:val="28"/>
          <w:b/>
        </w:rPr>
        <w:t>陕西正宇信工程项目管理有限公司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陕西正宇信工程项目管理有限公司</w:t>
      </w:r>
      <w:r>
        <w:rPr>
          <w:rFonts w:ascii="仿宋_GB2312" w:hAnsi="仿宋_GB2312" w:cs="仿宋_GB2312" w:eastAsia="仿宋_GB2312"/>
        </w:rPr>
        <w:t>（以下简称“代理机构”）受</w:t>
      </w:r>
      <w:r>
        <w:rPr>
          <w:rFonts w:ascii="仿宋_GB2312" w:hAnsi="仿宋_GB2312" w:cs="仿宋_GB2312" w:eastAsia="仿宋_GB2312"/>
        </w:rPr>
        <w:t>富平县自然资源局（本级）</w:t>
      </w:r>
      <w:r>
        <w:rPr>
          <w:rFonts w:ascii="仿宋_GB2312" w:hAnsi="仿宋_GB2312" w:cs="仿宋_GB2312" w:eastAsia="仿宋_GB2312"/>
        </w:rPr>
        <w:t>委托，拟对</w:t>
      </w:r>
      <w:r>
        <w:rPr>
          <w:rFonts w:ascii="仿宋_GB2312" w:hAnsi="仿宋_GB2312" w:cs="仿宋_GB2312" w:eastAsia="仿宋_GB2312"/>
        </w:rPr>
        <w:t>富平县2025年度黄河流域山水林田湖草沙生态保护示范工程监理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ZYXCG-20250105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富平县2025年度黄河流域山水林田湖草沙生态保护示范工程监理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对庄里镇北山区废弃矿山生态修复项目一标段、庄里镇北山区生态防护林提升改造项目二标段、庄里镇北山区水土流失治理项目三标段、庄里镇北山区水土流失治理项目四标段施工标项工程建设期施工进行监理。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采购包1（富平县2025年度黄河流域山水林田湖草沙生态保护示范工程监理）：属于专门面向中小企业采购。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提供有效的营业执照（具备统一社会信用代码）；事业法人提供有效的事业单位法人证；其他组织提供合法证明文件；自然人提供身份证；供应商需在项目电子化交易系统中按要求上传相应证明文件并进行电子签章；</w:t>
      </w:r>
    </w:p>
    <w:p>
      <w:pPr>
        <w:pStyle w:val="null3"/>
      </w:pPr>
      <w:r>
        <w:rPr>
          <w:rFonts w:ascii="仿宋_GB2312" w:hAnsi="仿宋_GB2312" w:cs="仿宋_GB2312" w:eastAsia="仿宋_GB2312"/>
        </w:rPr>
        <w:t>2、法定代表人授权书：供应商应授权合法的人员参加磋商全过程，其中法定代表人直接参加磋商的，须出具法定代表人身份证明书及身份证复印件，并与营业执照信息一致。法定代表人授权代表参加磋商的，须出具法定代表人授权书（附法定代表人、被授权人身份证复印件）；供应商需在项目电子化交易系统中按要求上传相应证明文件并进行电子签章；</w:t>
      </w:r>
    </w:p>
    <w:p>
      <w:pPr>
        <w:pStyle w:val="null3"/>
      </w:pPr>
      <w:r>
        <w:rPr>
          <w:rFonts w:ascii="仿宋_GB2312" w:hAnsi="仿宋_GB2312" w:cs="仿宋_GB2312" w:eastAsia="仿宋_GB2312"/>
        </w:rPr>
        <w:t>3、企业资质：供应商须具备相关行政主管部门颁发的地质灾害治理工程监理乙级（含乙级）及以上资质或水利工程施工监理乙级（含乙级）及以上资质；供应商需在项目电子化交易系统中按要求上传相应证明文件并进行电子签章；</w:t>
      </w:r>
    </w:p>
    <w:p>
      <w:pPr>
        <w:pStyle w:val="null3"/>
      </w:pPr>
      <w:r>
        <w:rPr>
          <w:rFonts w:ascii="仿宋_GB2312" w:hAnsi="仿宋_GB2312" w:cs="仿宋_GB2312" w:eastAsia="仿宋_GB2312"/>
        </w:rPr>
        <w:t>4、项目负责人：拟派本项目总监理工程师须具备水利工程专业国家注册监理工程师资格，且在本单位注册；拟派总监理工程师如有担任其他在监工程的总监理工程师，则在监工程不得超过2个（含2），同时需提供在监项目建设单位的同意意见书；供应商需在项目电子化交易系统中按要求上传相应证明文件并进行电子签章；</w:t>
      </w:r>
    </w:p>
    <w:p>
      <w:pPr>
        <w:pStyle w:val="null3"/>
      </w:pPr>
      <w:r>
        <w:rPr>
          <w:rFonts w:ascii="仿宋_GB2312" w:hAnsi="仿宋_GB2312" w:cs="仿宋_GB2312" w:eastAsia="仿宋_GB2312"/>
        </w:rPr>
        <w:t>5、企业信誉：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以现场查询结果为准；</w:t>
      </w:r>
    </w:p>
    <w:p>
      <w:pPr>
        <w:pStyle w:val="null3"/>
      </w:pPr>
      <w:r>
        <w:rPr>
          <w:rFonts w:ascii="仿宋_GB2312" w:hAnsi="仿宋_GB2312" w:cs="仿宋_GB2312" w:eastAsia="仿宋_GB2312"/>
        </w:rPr>
        <w:t>6、税收缴纳证明：提供自磋商前一年内至少一个月已缴纳的增值税或企业所得税的凭据或税务机关开具的完税证明；依法免税的应提供相关文件证明；供应商需在项目电子化交易系统中按要求上传相应证明文件并进行电子签章；</w:t>
      </w:r>
    </w:p>
    <w:p>
      <w:pPr>
        <w:pStyle w:val="null3"/>
      </w:pPr>
      <w:r>
        <w:rPr>
          <w:rFonts w:ascii="仿宋_GB2312" w:hAnsi="仿宋_GB2312" w:cs="仿宋_GB2312" w:eastAsia="仿宋_GB2312"/>
        </w:rPr>
        <w:t>7、社会保障资金缴纳证明：提供自磋商前一年内已缴纳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8、财务状况报告：提供2024年度经审计的财务报告（成立时间至开标截止时间不足一年的可提供成立后任意时段的资产负债表）或开标截止时间前六个月内其基本账户银行出具的资信证明或政府采购信用担保机构出具的担保函(附开户许可证或基本账户证明)，以上形式的证明资料提供任何一种即可；供应商需在项目电子化交易系统中按要求上传相应证明文件并进行电子签章；</w:t>
      </w:r>
    </w:p>
    <w:p>
      <w:pPr>
        <w:pStyle w:val="null3"/>
      </w:pPr>
      <w:r>
        <w:rPr>
          <w:rFonts w:ascii="仿宋_GB2312" w:hAnsi="仿宋_GB2312" w:cs="仿宋_GB2312" w:eastAsia="仿宋_GB2312"/>
        </w:rPr>
        <w:t>9、承诺书：提供具有履行合同所必需的设备和专业技术能力的承诺；供应商需在项目电子化交易系统中按要求上传相应证明文件并进行电子签章；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10、书面声明：提供参加本次政府采购活动前三年内在经营活动中没有重大违法记录的书面声明；供应商需在项目电子化交易系统中按要求上传相应证明文件并进行电子签章；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11、非联合体磋商：本项目不接受联合体磋商；供应商需在项目电子化交易系统中按要求上传相应证明文件并进行电子签章；</w:t>
      </w:r>
    </w:p>
    <w:p>
      <w:pPr>
        <w:pStyle w:val="null3"/>
      </w:pPr>
      <w:r>
        <w:rPr>
          <w:rFonts w:ascii="仿宋_GB2312" w:hAnsi="仿宋_GB2312" w:cs="仿宋_GB2312" w:eastAsia="仿宋_GB2312"/>
        </w:rPr>
        <w:t>12、供应商不得存在的其他情形：单位负责人为同一人或者存在直接控股、管理关系的不同单位，不得参加同一合同项下的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富平县自然资源局（本级）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富平县莲湖大街东段83号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13379439206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陕西正宇信工程项目管理有限公司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西安市航天基地飞天路588号北航科技园5号楼1单元2楼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18629310636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开户名称：陕西正宇信工程项目管理有限公司</w:t>
            </w:r>
          </w:p>
          <w:p>
            <w:pPr>
              <w:pStyle w:val="null3"/>
            </w:pPr>
            <w:r>
              <w:rPr>
                <w:rFonts w:ascii="仿宋_GB2312" w:hAnsi="仿宋_GB2312" w:cs="仿宋_GB2312" w:eastAsia="仿宋_GB2312"/>
              </w:rPr>
              <w:t>开户银行：中国建设银行股份有限公司西安长安区西长安街支行</w:t>
            </w:r>
          </w:p>
          <w:p>
            <w:pPr>
              <w:pStyle w:val="null3"/>
            </w:pPr>
            <w:r>
              <w:rPr>
                <w:rFonts w:ascii="仿宋_GB2312" w:hAnsi="仿宋_GB2312" w:cs="仿宋_GB2312" w:eastAsia="仿宋_GB2312"/>
              </w:rPr>
              <w:t>银行账号：61050170525900000014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向招标代理机构支付。2.收费依据：按国家计委颁发的《招标代理服务收费管理暂行办法》（计价格[2002]1980号）和国家发展改革委员会办公厅颁发的《关于招标代理服务收费有关问题的通知》(发改办价格[2003]857号）规定的标准下浮10%计取。 缴存账户：开户名称：陕西正宇信工程项目管理有限公司 开户银行：中国建设银行股份有限公司西安长安区西长安街支行 账号：61050170525900000014 （备注：项目名称+项目编号+包号）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富平县自然资源局（本级）</w:t>
      </w:r>
      <w:r>
        <w:rPr>
          <w:rFonts w:ascii="仿宋_GB2312" w:hAnsi="仿宋_GB2312" w:cs="仿宋_GB2312" w:eastAsia="仿宋_GB2312"/>
        </w:rPr>
        <w:t>和</w:t>
      </w:r>
      <w:r>
        <w:rPr>
          <w:rFonts w:ascii="仿宋_GB2312" w:hAnsi="仿宋_GB2312" w:cs="仿宋_GB2312" w:eastAsia="仿宋_GB2312"/>
        </w:rPr>
        <w:t>陕西正宇信工程项目管理有限公司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富平县自然资源局（本级）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陕西正宇信工程项目管理有限公司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富平县自然资源局（本级）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陕西正宇信工程项目管理有限公司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陕西正宇信工程项目管理有限公司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陕西正宇信工程项目管理有限公司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陕西正宇信工程项目管理有限公司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联系电话：18629310636</w:t>
      </w:r>
    </w:p>
    <w:p>
      <w:pPr>
        <w:pStyle w:val="null3"/>
      </w:pPr>
      <w:r>
        <w:rPr>
          <w:rFonts w:ascii="仿宋_GB2312" w:hAnsi="仿宋_GB2312" w:cs="仿宋_GB2312" w:eastAsia="仿宋_GB2312"/>
        </w:rPr>
        <w:t>地址：西安市航天基地飞天路588号北航科技园5号楼1单元2楼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对庄里镇北山区废弃矿山生态修复项目一标段、庄里镇北山区生态防护林提升改造项目二标段、庄里镇北山区水土流失治理项目三标段、庄里镇北山区水土流失治理项目四标段施工标项工程建设期施工进行监理。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400,900.00</w:t>
      </w:r>
    </w:p>
    <w:p>
      <w:pPr>
        <w:pStyle w:val="null3"/>
      </w:pPr>
      <w:r>
        <w:rPr>
          <w:rFonts w:ascii="仿宋_GB2312" w:hAnsi="仿宋_GB2312" w:cs="仿宋_GB2312" w:eastAsia="仿宋_GB2312"/>
        </w:rPr>
        <w:t>采购包最高限价（元）: 400,900.00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富平县2025年度黄河流域山水林田湖草沙生态保护示范工程监理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标的名称：富平县2025年度黄河流域山水林田湖草沙生态保护示范工程监理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一、服务范围</w:t>
            </w:r>
          </w:p>
          <w:p>
            <w:pPr>
              <w:pStyle w:val="null3"/>
              <w:ind w:firstLine="480"/>
            </w:pPr>
            <w:r>
              <w:rPr>
                <w:rFonts w:ascii="仿宋_GB2312" w:hAnsi="仿宋_GB2312" w:cs="仿宋_GB2312" w:eastAsia="仿宋_GB2312"/>
                <w:sz w:val="24"/>
              </w:rPr>
              <w:t>富平县</w:t>
            </w:r>
            <w:r>
              <w:rPr>
                <w:rFonts w:ascii="仿宋_GB2312" w:hAnsi="仿宋_GB2312" w:cs="仿宋_GB2312" w:eastAsia="仿宋_GB2312"/>
                <w:sz w:val="24"/>
              </w:rPr>
              <w:t>2025年度黄河流域山水林田湖草沙生态保护示范工程主要位于富平县庄里镇，局部位于宫里镇、梅家坪镇、齐村镇和曹村镇，包含庄里镇北山区废弃矿山生态修复项目、庄里镇北山区低效防护林提升改造项目和庄里镇北山区水土流失治理项目。主要建设内容包括坡面危岩清理605m³、坡面整理挖高填低29385m³、覆土整平16466m³、落水洞回填14163m³、石渣挖运4137m³、田埂29955m、土谷坊36m、格宾挡墙410m、拦渣挡墙73m、碎石道路605.1m、排水沟1292.7m、种植连翘103972株、刺槐3105株、紫穗槐231716株、花椒4464株、柠条135475株、油松17341株、构树5919株、侧柏30360株、速生杨375株、培肥217791kg、简介牌1块、警示牌5块等。</w:t>
            </w:r>
          </w:p>
          <w:p>
            <w:pPr>
              <w:pStyle w:val="null3"/>
              <w:ind w:firstLine="576"/>
            </w:pPr>
            <w:r>
              <w:rPr>
                <w:rFonts w:ascii="仿宋_GB2312" w:hAnsi="仿宋_GB2312" w:cs="仿宋_GB2312" w:eastAsia="仿宋_GB2312"/>
                <w:sz w:val="24"/>
              </w:rPr>
              <w:t>本次项目针对以上建设内容对庄里镇北山区废弃矿山生态修复项目一标段、庄里镇北山区生态防护林提升改造项目二标段、庄里镇北山区水土流失治理项目三标段、庄里镇北山区水土流失治理项目四标段施工标项工程建设期施工进行监理</w:t>
            </w:r>
            <w:r>
              <w:rPr>
                <w:rFonts w:ascii="仿宋_GB2312" w:hAnsi="仿宋_GB2312" w:cs="仿宋_GB2312" w:eastAsia="仿宋_GB2312"/>
                <w:sz w:val="24"/>
              </w:rPr>
              <w:t>。具体</w:t>
            </w:r>
            <w:r>
              <w:rPr>
                <w:rFonts w:ascii="仿宋_GB2312" w:hAnsi="仿宋_GB2312" w:cs="仿宋_GB2312" w:eastAsia="仿宋_GB2312"/>
                <w:sz w:val="24"/>
              </w:rPr>
              <w:t>包括</w:t>
            </w:r>
            <w:r>
              <w:rPr>
                <w:rFonts w:ascii="仿宋_GB2312" w:hAnsi="仿宋_GB2312" w:cs="仿宋_GB2312" w:eastAsia="仿宋_GB2312"/>
                <w:sz w:val="24"/>
              </w:rPr>
              <w:t>:施工前期准备阶段、施工阶段、竣工验收阶段和工程保修阶段的监理工作,开展过程中的质量、进度、费用控制、安全生产监督管理、合同、信息等方面的监督实施及协调管理。</w:t>
            </w:r>
          </w:p>
          <w:p>
            <w:pPr>
              <w:pStyle w:val="null3"/>
            </w:pPr>
            <w:r>
              <w:rPr>
                <w:rFonts w:ascii="仿宋_GB2312" w:hAnsi="仿宋_GB2312" w:cs="仿宋_GB2312" w:eastAsia="仿宋_GB2312"/>
                <w:sz w:val="24"/>
              </w:rPr>
              <w:t>二、服务期：八个月（具体开工、竣工日期以签订合同为准，与实际施工工期为准）</w:t>
            </w:r>
          </w:p>
          <w:p>
            <w:pPr>
              <w:pStyle w:val="null3"/>
              <w:jc w:val="both"/>
            </w:pP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工程监理标准</w:t>
            </w:r>
          </w:p>
          <w:p>
            <w:pPr>
              <w:pStyle w:val="null3"/>
              <w:jc w:val="both"/>
            </w:pPr>
            <w:r>
              <w:rPr>
                <w:rFonts w:ascii="仿宋_GB2312" w:hAnsi="仿宋_GB2312" w:cs="仿宋_GB2312" w:eastAsia="仿宋_GB2312"/>
                <w:sz w:val="24"/>
                <w:color w:val="000000"/>
              </w:rPr>
              <w:t>1、《建设工程监理规范》（GB</w:t>
            </w:r>
            <w:r>
              <w:rPr>
                <w:rFonts w:ascii="仿宋_GB2312" w:hAnsi="仿宋_GB2312" w:cs="仿宋_GB2312" w:eastAsia="仿宋_GB2312"/>
                <w:sz w:val="24"/>
                <w:color w:val="000000"/>
              </w:rPr>
              <w:t>/</w:t>
            </w:r>
            <w:r>
              <w:rPr>
                <w:rFonts w:ascii="仿宋_GB2312" w:hAnsi="仿宋_GB2312" w:cs="仿宋_GB2312" w:eastAsia="仿宋_GB2312"/>
                <w:sz w:val="24"/>
                <w:color w:val="000000"/>
              </w:rPr>
              <w:t>50319-2013）。</w:t>
            </w:r>
          </w:p>
          <w:p>
            <w:pPr>
              <w:pStyle w:val="null3"/>
              <w:jc w:val="both"/>
            </w:pPr>
            <w:r>
              <w:rPr>
                <w:rFonts w:ascii="仿宋_GB2312" w:hAnsi="仿宋_GB2312" w:cs="仿宋_GB2312" w:eastAsia="仿宋_GB2312"/>
                <w:sz w:val="24"/>
                <w:color w:val="000000"/>
              </w:rPr>
              <w:t>2、除合同另有约定外，本工程适用现行国家、省、市、行业和地方规范、标准和规程。</w:t>
            </w:r>
          </w:p>
          <w:p>
            <w:pPr>
              <w:pStyle w:val="null3"/>
              <w:jc w:val="both"/>
            </w:pPr>
            <w:r>
              <w:rPr>
                <w:rFonts w:ascii="仿宋_GB2312" w:hAnsi="仿宋_GB2312" w:cs="仿宋_GB2312" w:eastAsia="仿宋_GB2312"/>
                <w:sz w:val="24"/>
                <w:color w:val="000000"/>
              </w:rPr>
              <w:t>3、规范、标准和规程如发生不一致时，则以要求最为严格的规范、规程或标准作为工作依据。</w:t>
            </w:r>
          </w:p>
          <w:p>
            <w:pPr>
              <w:pStyle w:val="null3"/>
            </w:pPr>
            <w:r>
              <w:rPr>
                <w:rFonts w:ascii="仿宋_GB2312" w:hAnsi="仿宋_GB2312" w:cs="仿宋_GB2312" w:eastAsia="仿宋_GB2312"/>
                <w:sz w:val="24"/>
                <w:color w:val="000000"/>
              </w:rPr>
              <w:t>4、在合同履行期间，监理人应满足委托人的特定技术要求，满足设计要求，满足陕西省及</w:t>
            </w:r>
            <w:r>
              <w:rPr>
                <w:rFonts w:ascii="仿宋_GB2312" w:hAnsi="仿宋_GB2312" w:cs="仿宋_GB2312" w:eastAsia="仿宋_GB2312"/>
                <w:sz w:val="24"/>
                <w:color w:val="000000"/>
              </w:rPr>
              <w:t>渭南</w:t>
            </w:r>
            <w:r>
              <w:rPr>
                <w:rFonts w:ascii="仿宋_GB2312" w:hAnsi="仿宋_GB2312" w:cs="仿宋_GB2312" w:eastAsia="仿宋_GB2312"/>
                <w:sz w:val="24"/>
                <w:color w:val="000000"/>
              </w:rPr>
              <w:t>市的有关强制性规定；监理人应严格执行中华人民共和国强制性标准，执行现行的或即将颁布的行业标准、规范；如有新颁国家标准及行业标准、规范，委托人指令执行时，监理人应当执行。</w:t>
            </w:r>
          </w:p>
          <w:p>
            <w:pPr>
              <w:pStyle w:val="null3"/>
              <w:jc w:val="left"/>
            </w:pPr>
            <w:r>
              <w:rPr>
                <w:rFonts w:ascii="仿宋_GB2312" w:hAnsi="仿宋_GB2312" w:cs="仿宋_GB2312" w:eastAsia="仿宋_GB2312"/>
                <w:sz w:val="24"/>
                <w:color w:val="000000"/>
              </w:rPr>
              <w:t>四、质量标准：</w:t>
            </w:r>
            <w:r>
              <w:rPr>
                <w:rFonts w:ascii="仿宋_GB2312" w:hAnsi="仿宋_GB2312" w:cs="仿宋_GB2312" w:eastAsia="仿宋_GB2312"/>
                <w:sz w:val="24"/>
                <w:color w:val="000000"/>
              </w:rPr>
              <w:t>需满足国家相关标准、行业标准、地方标准或者其他标准、规范</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八个月（具体开工、竣工日期以签订合同为准，与实际施工工期为准）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符合现行国家、行业“合格”标准，同时满足采购人需求。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完成总工程量30%时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完成工程竣工(县级验收)合格时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通过省市验收合格后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1监理人的违约责任监理人赔偿金额按下列方法确定： 赔偿金=直接经济损失×正常工作酬金÷工程概算投资额(或建筑安装工程费) 2委托人的违约责任委托人逾期付款利息按下列方法确定：逾期付款额×银行同期贷款利率×拖延支付天数。 争议解决： 1调解本合同争议进行调解时，可提交主管部门进行调解。 2仲裁或诉讼 合同争议的最终解决方式为下列第二种方式： (1)提请渭南仲裁委员会进行仲裁。 (2)向项目所在地人民法院提起诉讼。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其他说明：本项目最高限价费率为2.6835%。供应商报价时应按照磋商报价=费率*监理费计费基准价(14939390.74元)的方式进行计算报价；本项目按照费率结算，根据本项目实际情况，若本项目经财政评审（或审计）工程建安结算总价低于本项目施工预算审定价（最高限价），监理费按照成交监理费费率计算后的总价结算（即工程监理费=经财政评审（或审计）工程建安结算总价×成交监理费费率），其他情况按合同暂定金额结算。 3.4.2 成交费率根据供应商最终报价换算得出。即供应商最终报价÷监理费计费基准价(14939390.74元)=成交费率。 3.4.3成交供应商在成交结果公告结束后3个工作日内向采购代理机构提供纸质版响应文件正本壹份，副本叁份，电子U盘贰份(响应文件内容与电子版一致)，纸质响应文件正副本分别胶装，标明供应商名称密封递交，开标结束后两个工作日递交至指定地点，线下递交文件地点：西安市航天基地飞天路588号北航科技园5号楼1单元2楼。如需邮寄响应文件，（联系人：王工，联系电话：18629310636）。 3.3.4 本项目所属行业是其他未列明行业，投标人填写中小企业声明函的所属行业须填写其他未列明行业，根据工信部联企业[2011]300号文件其他未列明行业的性质判定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供应商为中型企业、小型企业、微型企业的，提供《中小企业声明函》，且中小企业的划分标准所属行业为其他未列明行业；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提供有效的营业执照（具备统一社会信用代码）；事业法人提供有效的事业单位法人证；其他组织提供合法证明文件；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及身份证复印件，并与营业执照信息一致。法定代表人授权代表参加磋商的，须出具法定代表人授权书（附法定代表人、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相关行政主管部门颁发的地质灾害治理工程监理乙级（含乙级）及以上资质或水利工程施工监理乙级（含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本项目总监理工程师须具备水利工程专业国家注册监理工程师资格，且在本单位注册；拟派总监理工程师如有担任其他在监工程的总监理工程师，则在监工程不得超过2个（含2），同时需提供在监项目建设单位的同意意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以现场查询结果为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提供自磋商前一年内至少一个月已缴纳的增值税或企业所得税的凭据或税务机关开具的完税证明；依法免税的应提供相关文件证明；供应商需在项目电子化交易系统中按要求上传相应证明文件并进行电子签章；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磋商前一年内已缴纳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开标截止时间不足一年的可提供成立后任意时段的资产负债表）或开标截止时间前六个月内其基本账户银行出具的资信证明或政府采购信用担保机构出具的担保函(附开户许可证或基本账户证明)，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供应商不得存在的其他情形</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一次磋商报价表.docx 商务条款响应偏离表.docx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只有一个有效报价</w:t>
            </w:r>
          </w:p>
        </w:tc>
        <w:tc>
          <w:tcPr>
            <w:tcW w:type="dxa" w:w="1661"/>
          </w:tcPr>
          <w:p>
            <w:pPr>
              <w:pStyle w:val="null3"/>
            </w:pPr>
            <w:r>
              <w:rPr>
                <w:rFonts w:ascii="仿宋_GB2312" w:hAnsi="仿宋_GB2312" w:cs="仿宋_GB2312" w:eastAsia="仿宋_GB2312"/>
              </w:rPr>
              <w:t>一次磋商报价表.docx 标的清单 响应分项报价表.docx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与营业执照、公章等一致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付款方式是否响应</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磋商报价是否超过采购预算或最高限价</w:t>
            </w:r>
          </w:p>
        </w:tc>
        <w:tc>
          <w:tcPr>
            <w:tcW w:type="dxa" w:w="3322"/>
          </w:tcPr>
          <w:p>
            <w:pPr>
              <w:pStyle w:val="null3"/>
            </w:pPr>
            <w:r>
              <w:rPr>
                <w:rFonts w:ascii="仿宋_GB2312" w:hAnsi="仿宋_GB2312" w:cs="仿宋_GB2312" w:eastAsia="仿宋_GB2312"/>
              </w:rPr>
              <w:t>磋商报价不允许超过采购预算或最高限价，否则将按废标处理</w:t>
            </w:r>
          </w:p>
        </w:tc>
        <w:tc>
          <w:tcPr>
            <w:tcW w:type="dxa" w:w="1661"/>
          </w:tcPr>
          <w:p>
            <w:pPr>
              <w:pStyle w:val="null3"/>
            </w:pPr>
            <w:r>
              <w:rPr>
                <w:rFonts w:ascii="仿宋_GB2312" w:hAnsi="仿宋_GB2312" w:cs="仿宋_GB2312" w:eastAsia="仿宋_GB2312"/>
              </w:rPr>
              <w:t>标的清单 一次磋商报价表.docx 报价表 响应分项报价表.docx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不存在法律、法规和采购文件规定的其他无效情形</w:t>
            </w:r>
          </w:p>
        </w:tc>
        <w:tc>
          <w:tcPr>
            <w:tcW w:type="dxa" w:w="1661"/>
          </w:tcPr>
          <w:p>
            <w:pPr>
              <w:pStyle w:val="null3"/>
            </w:pPr>
            <w:r>
              <w:rPr>
                <w:rFonts w:ascii="仿宋_GB2312" w:hAnsi="仿宋_GB2312" w:cs="仿宋_GB2312" w:eastAsia="仿宋_GB2312"/>
              </w:rPr>
              <w:t>响应文件封面 服务内容及服务要求偏离表.docx 承诺书.docx 磋商保证金缴纳凭证.docx 陕西省政府采购供应商拒绝政府采购领域商业贿赂承诺书.docx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w:t>
            </w:r>
          </w:p>
        </w:tc>
        <w:tc>
          <w:tcPr>
            <w:tcW w:type="dxa" w:w="2492"/>
          </w:tcPr>
          <w:p>
            <w:pPr>
              <w:pStyle w:val="null3"/>
            </w:pPr>
            <w:r>
              <w:rPr>
                <w:rFonts w:ascii="仿宋_GB2312" w:hAnsi="仿宋_GB2312" w:cs="仿宋_GB2312" w:eastAsia="仿宋_GB2312"/>
              </w:rPr>
              <w:t>一、评审内容：①监理工作流程；②工作目标；③进度目标；④投资控制目标；⑤安全控制目标。二、评审标准：方案各部分内容全面详细、阐述条理清晰详尽、符合本项目采购需求得10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一、评审内容： ①现场监理工作制度；②内部工作制度；③相关服务工作制度。二、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监理资料与档案管理措施</w:t>
            </w:r>
          </w:p>
        </w:tc>
        <w:tc>
          <w:tcPr>
            <w:tcW w:type="dxa" w:w="2492"/>
          </w:tcPr>
          <w:p>
            <w:pPr>
              <w:pStyle w:val="null3"/>
            </w:pPr>
            <w:r>
              <w:rPr>
                <w:rFonts w:ascii="仿宋_GB2312" w:hAnsi="仿宋_GB2312" w:cs="仿宋_GB2312" w:eastAsia="仿宋_GB2312"/>
              </w:rPr>
              <w:t>一、评审内容： ①监理资料与档案存放、移交管理制度；②监理资料与档案保管人员安排。二、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监理工作重点、 难点分析及对策</w:t>
            </w:r>
          </w:p>
        </w:tc>
        <w:tc>
          <w:tcPr>
            <w:tcW w:type="dxa" w:w="2492"/>
          </w:tcPr>
          <w:p>
            <w:pPr>
              <w:pStyle w:val="null3"/>
            </w:pPr>
            <w:r>
              <w:rPr>
                <w:rFonts w:ascii="仿宋_GB2312" w:hAnsi="仿宋_GB2312" w:cs="仿宋_GB2312" w:eastAsia="仿宋_GB2312"/>
              </w:rPr>
              <w:t>一、评审内容： ①针对本项目的重点、难点分析；②针对本项目的重点、难点的对策。 二、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监理工作质量控制</w:t>
            </w:r>
          </w:p>
        </w:tc>
        <w:tc>
          <w:tcPr>
            <w:tcW w:type="dxa" w:w="2492"/>
          </w:tcPr>
          <w:p>
            <w:pPr>
              <w:pStyle w:val="null3"/>
            </w:pPr>
            <w:r>
              <w:rPr>
                <w:rFonts w:ascii="仿宋_GB2312" w:hAnsi="仿宋_GB2312" w:cs="仿宋_GB2312" w:eastAsia="仿宋_GB2312"/>
              </w:rPr>
              <w:t>一、评审内容： ①质量管理控制的基本流程；②工程质量控制的原则；③项目各阶段的质量控制措施。二、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监理工作进度计划安排及保障措施</w:t>
            </w:r>
          </w:p>
        </w:tc>
        <w:tc>
          <w:tcPr>
            <w:tcW w:type="dxa" w:w="2492"/>
          </w:tcPr>
          <w:p>
            <w:pPr>
              <w:pStyle w:val="null3"/>
            </w:pPr>
            <w:r>
              <w:rPr>
                <w:rFonts w:ascii="仿宋_GB2312" w:hAnsi="仿宋_GB2312" w:cs="仿宋_GB2312" w:eastAsia="仿宋_GB2312"/>
              </w:rPr>
              <w:t>一、评审内容： ①监理工作进度计划安排；②监理工作进度计划保障措施。二、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监理组织协调工作方法措施</w:t>
            </w:r>
          </w:p>
        </w:tc>
        <w:tc>
          <w:tcPr>
            <w:tcW w:type="dxa" w:w="2492"/>
          </w:tcPr>
          <w:p>
            <w:pPr>
              <w:pStyle w:val="null3"/>
            </w:pPr>
            <w:r>
              <w:rPr>
                <w:rFonts w:ascii="仿宋_GB2312" w:hAnsi="仿宋_GB2312" w:cs="仿宋_GB2312" w:eastAsia="仿宋_GB2312"/>
              </w:rPr>
              <w:t>一、评审内容： ①项目监理内部协调方法措施；②项目监理对外组织协调方法措施。二、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服务质量承诺；②服务周期承诺；③保修阶段质量服务承诺。二、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拟投入检测仪器设备</w:t>
            </w:r>
          </w:p>
        </w:tc>
        <w:tc>
          <w:tcPr>
            <w:tcW w:type="dxa" w:w="2492"/>
          </w:tcPr>
          <w:p>
            <w:pPr>
              <w:pStyle w:val="null3"/>
            </w:pPr>
            <w:r>
              <w:rPr>
                <w:rFonts w:ascii="仿宋_GB2312" w:hAnsi="仿宋_GB2312" w:cs="仿宋_GB2312" w:eastAsia="仿宋_GB2312"/>
              </w:rPr>
              <w:t>一、评审内容：①拟投入检测仪器设备清单；②拟投入检测仪器设备来源证明材料。 二、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监理检测仪器设备一览表.docx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一、评审内容： ①根据拟投入的其他服务人员数量②根据拟投入的其他人员年龄、专业经验、资格/职称等情况。二、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项目组人员构成.docx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提供供应商2022年10月至响应文件截止日期前（时间以合同签订时间或中标通知书签发时间为准）类似项目业绩，每提供1个得2分，满分8分(以合同协议书或中标（成交）通知书内容为准)。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监理业绩一览表.docx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价格分采用低价优先法计算，即满足采购文件要求且最后报价最低的供应商的价格为评标基准价，其价格分为满分。其他供应商的价格分统一按照下列公式计算：报价得分=（评标基准价/投标报价）×10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详见附件：一次磋商报价表.docx</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详见附件：服务内容及服务要求偏离表.docx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详见附件：项目组人员构成.docx</w:t>
      </w:r>
    </w:p>
    <w:p>
      <w:pPr>
        <w:pStyle w:val="null3"/>
        <w:ind w:firstLine="960"/>
      </w:pPr>
      <w:r>
        <w:rPr>
          <w:rFonts w:ascii="仿宋_GB2312" w:hAnsi="仿宋_GB2312" w:cs="仿宋_GB2312" w:eastAsia="仿宋_GB2312"/>
        </w:rPr>
        <w:t>详见附件：监理检测仪器设备一览表.docx</w:t>
      </w:r>
    </w:p>
    <w:p>
      <w:pPr>
        <w:pStyle w:val="null3"/>
        <w:ind w:firstLine="960"/>
      </w:pPr>
      <w:r>
        <w:rPr>
          <w:rFonts w:ascii="仿宋_GB2312" w:hAnsi="仿宋_GB2312" w:cs="仿宋_GB2312" w:eastAsia="仿宋_GB2312"/>
        </w:rPr>
        <w:t>详见附件：监理业绩一览表.docx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