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版本号：JQ2025-ZFCG-03720251117001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2025年富平县宫里镇桥南村传统工艺加工建设项目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JQ2025-ZFCG-037</w:t>
      </w:r>
      <w:r>
        <w:br/>
      </w:r>
      <w:r>
        <w:br/>
      </w:r>
      <w:r>
        <w:br/>
      </w:r>
    </w:p>
    <w:p>
      <w:pPr>
        <w:pStyle w:val="null3"/>
        <w:jc w:val="center"/>
        <w:outlineLvl w:val="2"/>
      </w:pPr>
      <w:r>
        <w:rPr>
          <w:rFonts w:ascii="仿宋_GB2312" w:hAnsi="仿宋_GB2312" w:cs="仿宋_GB2312" w:eastAsia="仿宋_GB2312"/>
          <w:sz w:val="28"/>
          <w:b/>
        </w:rPr>
        <w:t>富平县宫里镇人民政府（本级）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富平县宫里镇人民政府（本级）</w:t>
      </w:r>
      <w:r>
        <w:rPr>
          <w:rFonts w:ascii="仿宋_GB2312" w:hAnsi="仿宋_GB2312" w:cs="仿宋_GB2312" w:eastAsia="仿宋_GB2312"/>
        </w:rPr>
        <w:t>委托，拟对</w:t>
      </w:r>
      <w:r>
        <w:rPr>
          <w:rFonts w:ascii="仿宋_GB2312" w:hAnsi="仿宋_GB2312" w:cs="仿宋_GB2312" w:eastAsia="仿宋_GB2312"/>
        </w:rPr>
        <w:t>2025年富平县宫里镇桥南村传统工艺加工建设项目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2025年富平县宫里镇桥南村传统工艺加工建设项目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新建水泥框架加工厂房212m²(13.25m*16m)高5m。（详见工程量清单）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采购包1（2025年富平县宫里镇桥南村传统工艺加工建设项目）：属于专门面向中小企业采购。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3、资质证书：需具有建设行政主管部门核发的建筑工程施工总承包三级及以上资质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6、财务报告：须提供2023年至今任意一年经审计的财务报告（成立时间至提交磋商响应文件截止时间不足一年的可提供成立后任意时段的财务报表）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7、税收的良好记录：须提供依法缴纳税收的良好记录（提供投标截止时间前六个月内任意一个月份的缴纳凭据复印件并加盖单位公章，依法免税或开标前一年内零申报的供应商应提供相关证明文件）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11、保证金转账凭证或保函复印件：提供磋商保证金银行转账凭证及基本账户信息证明资料复印件或金融机构、担保机构出具的保函复印件，复印件均须加盖公章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富平县宫里镇人民政府（本级）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富平县宫里镇街道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曹志华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15029582066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采购包1：951,150.00元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富平县宫里镇人民政府（本级）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富平县宫里镇人民政府（本级）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富平县宫里镇人民政府（本级）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 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951,150.00</w:t>
      </w:r>
    </w:p>
    <w:p>
      <w:pPr>
        <w:pStyle w:val="null3"/>
      </w:pPr>
      <w:r>
        <w:rPr>
          <w:rFonts w:ascii="仿宋_GB2312" w:hAnsi="仿宋_GB2312" w:cs="仿宋_GB2312" w:eastAsia="仿宋_GB2312"/>
        </w:rPr>
        <w:t>采购包最高限价（元）: 950,663.68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2025年富平县宫里镇桥南村传统工艺加工建设项目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951,150.00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标的名称：2025年富平县宫里镇桥南村传统工艺加工建设项目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6"/>
              </w:rPr>
              <w:t>项目内容：</w:t>
            </w:r>
            <w:r>
              <w:rPr>
                <w:rFonts w:ascii="仿宋_GB2312" w:hAnsi="仿宋_GB2312" w:cs="仿宋_GB2312" w:eastAsia="仿宋_GB2312"/>
                <w:sz w:val="16"/>
                <w:color w:val="000000"/>
              </w:rPr>
              <w:t>新建水泥框架加工厂房</w:t>
            </w:r>
            <w:r>
              <w:rPr>
                <w:rFonts w:ascii="仿宋_GB2312" w:hAnsi="仿宋_GB2312" w:cs="仿宋_GB2312" w:eastAsia="仿宋_GB2312"/>
                <w:sz w:val="16"/>
                <w:color w:val="000000"/>
              </w:rPr>
              <w:t>212m</w:t>
            </w:r>
            <w:r>
              <w:rPr>
                <w:rFonts w:ascii="仿宋_GB2312" w:hAnsi="仿宋_GB2312" w:cs="仿宋_GB2312" w:eastAsia="仿宋_GB2312"/>
                <w:sz w:val="16"/>
                <w:color w:val="000000"/>
              </w:rPr>
              <w:t>²</w:t>
            </w:r>
            <w:r>
              <w:rPr>
                <w:rFonts w:ascii="仿宋_GB2312" w:hAnsi="仿宋_GB2312" w:cs="仿宋_GB2312" w:eastAsia="仿宋_GB2312"/>
                <w:sz w:val="16"/>
                <w:color w:val="000000"/>
              </w:rPr>
              <w:t>(13.25m*16m)高5m</w:t>
            </w:r>
            <w:r>
              <w:rPr>
                <w:rFonts w:ascii="仿宋_GB2312" w:hAnsi="仿宋_GB2312" w:cs="仿宋_GB2312" w:eastAsia="仿宋_GB2312"/>
                <w:sz w:val="16"/>
                <w:color w:val="000000"/>
              </w:rPr>
              <w:t>。</w:t>
            </w:r>
            <w:r>
              <w:rPr>
                <w:rFonts w:ascii="仿宋_GB2312" w:hAnsi="仿宋_GB2312" w:cs="仿宋_GB2312" w:eastAsia="仿宋_GB2312"/>
                <w:sz w:val="16"/>
              </w:rPr>
              <w:t>（详见工程量清单）</w:t>
            </w:r>
          </w:p>
          <w:p>
            <w:pPr>
              <w:pStyle w:val="null3"/>
            </w:pPr>
            <w:r>
              <w:rPr>
                <w:rFonts w:ascii="仿宋_GB2312" w:hAnsi="仿宋_GB2312" w:cs="仿宋_GB2312" w:eastAsia="仿宋_GB2312"/>
                <w:sz w:val="16"/>
              </w:rPr>
              <w:t>工</w:t>
            </w:r>
            <w:r>
              <w:rPr>
                <w:rFonts w:ascii="仿宋_GB2312" w:hAnsi="仿宋_GB2312" w:cs="仿宋_GB2312" w:eastAsia="仿宋_GB2312"/>
                <w:sz w:val="16"/>
              </w:rPr>
              <w:t xml:space="preserve">  </w:t>
            </w:r>
            <w:r>
              <w:rPr>
                <w:rFonts w:ascii="仿宋_GB2312" w:hAnsi="仿宋_GB2312" w:cs="仿宋_GB2312" w:eastAsia="仿宋_GB2312"/>
                <w:sz w:val="16"/>
              </w:rPr>
              <w:t>期：</w:t>
            </w:r>
            <w:r>
              <w:rPr>
                <w:rFonts w:ascii="仿宋_GB2312" w:hAnsi="仿宋_GB2312" w:cs="仿宋_GB2312" w:eastAsia="仿宋_GB2312"/>
                <w:sz w:val="16"/>
              </w:rPr>
              <w:t>210日历天（具体起止日期以合同签订时间为准）</w:t>
            </w:r>
          </w:p>
          <w:p>
            <w:pPr>
              <w:pStyle w:val="null3"/>
            </w:pPr>
            <w:r>
              <w:rPr>
                <w:rFonts w:ascii="仿宋_GB2312" w:hAnsi="仿宋_GB2312" w:cs="仿宋_GB2312" w:eastAsia="仿宋_GB2312"/>
                <w:sz w:val="16"/>
              </w:rPr>
              <w:t>合同履约地点：甲方指定地点</w:t>
            </w:r>
          </w:p>
          <w:p>
            <w:pPr>
              <w:pStyle w:val="null3"/>
            </w:pPr>
            <w:r>
              <w:rPr>
                <w:rFonts w:ascii="仿宋_GB2312" w:hAnsi="仿宋_GB2312" w:cs="仿宋_GB2312" w:eastAsia="仿宋_GB2312"/>
                <w:sz w:val="16"/>
              </w:rPr>
              <w:t>工程质量：合格</w:t>
            </w:r>
          </w:p>
          <w:p>
            <w:pPr>
              <w:pStyle w:val="null3"/>
            </w:pPr>
            <w:r>
              <w:rPr>
                <w:rFonts w:ascii="仿宋_GB2312" w:hAnsi="仿宋_GB2312" w:cs="仿宋_GB2312" w:eastAsia="仿宋_GB2312"/>
                <w:sz w:val="16"/>
              </w:rPr>
              <w:t>付款方式：合同签订后，支付合同总价</w:t>
            </w:r>
            <w:r>
              <w:rPr>
                <w:rFonts w:ascii="仿宋_GB2312" w:hAnsi="仿宋_GB2312" w:cs="仿宋_GB2312" w:eastAsia="仿宋_GB2312"/>
                <w:sz w:val="16"/>
              </w:rPr>
              <w:t>30%作为预付款；在施工过程中，可按工程进度支付相应阶段的工程款；工程竣工验收合格后，付至合同总价款的90%；待工程决算审计报告经双方签字盖章确认后，付至审定金额的97%；剩余3%作为质量保证金，于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需具有建设行政主管部门核发的建筑工程施工总承包三级及以上资质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资格证明材料.docx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保证金转账凭证或保函复印件</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供应商名称</w:t>
            </w:r>
          </w:p>
        </w:tc>
        <w:tc>
          <w:tcPr>
            <w:tcW w:type="dxa" w:w="3322"/>
          </w:tcPr>
          <w:p>
            <w:pPr>
              <w:pStyle w:val="null3"/>
            </w:pPr>
            <w:r>
              <w:rPr>
                <w:rFonts w:ascii="仿宋_GB2312" w:hAnsi="仿宋_GB2312" w:cs="仿宋_GB2312" w:eastAsia="仿宋_GB2312"/>
              </w:rPr>
              <w:t>与提供的证明材料一致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技术服务合同条款及其他商务要求应答表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 xml:space="preserve"> 符合磋商文件要求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①质量管理目标②管理机构职责分工③质量管理制度④质量保证措施。方案全面 、有效的计8 分 ，方案不完善或有缺陷（不完善或有缺陷是指：方案粗略 、逻辑混乱 、描述过于简单 、与项目特点不匹配 、凭空编造、逻辑漏洞、出现常识性错误 、套用其他项目方案、存在不可能实现的夸大情形 、存在不适用项 目实际情况的情形） 每项扣1分 ，方案缺漏项或只有标题没有实质性内容的每项扣2分，扣完为止。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①安全管理目标②安全管理机构职责分工③安全管理制度④安全保证措施 。方案全面 、有效的计8 分 ，方案不完善或有缺陷（不完善或有缺陷是指：方案粗略 、逻辑混乱 、描述过于简单 、 与项 目特点 不匹配 、 凭空编造 、逻辑漏洞 、 出现常识性错误 、 套用其他项目方案 、存在不可能实现的夸大情形 、 存在不适用项 目实际情况的情形） 每项扣1 分 ，方 案缺漏项或只有标题没有实质性内容的每项扣 2分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①环境保护管理目标②环境保护管理机构 职责分工③环境保护管理制度④环境保护保证措 施 。方案合理完整的计 8 分 ，方案不完善或有缺陷 （不完善或有缺陷是指： 方案粗略 、逻辑混乱 、描 述过于简单 、与项 目特点不匹配 、 凭空编造 、逻辑 漏洞 、 出现常识性错误 、套用其他项 目方案 、存在不可能实现的夸大情形 、存在不适用项 目实际情况 的情形） 每项扣1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①总工期及节点工期安排②施工进度计划安排③进度保证措施 ④资源保障与优化配置。方案合理完整的计 8分 ，方案不完善或有缺陷（不完善或有缺陷是指：方案粗略、逻辑混乱、描述过于简单 、与项 目特点不匹配、 凭空编造 、逻辑漏洞 、 出现常识性错误 、套用其他项 目方案 、存在不可能实现的夸大情形 、存在不适 用项 目实际情况的情形） 每项扣 1 分 ，方案缺漏项或只有标题没有实质性内容的每项扣 2 分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①对项 目总体概况表述②施工部署及措施③对项 目主要及关键方案的表述④施工平面布置 。方案合理完善的计12分 ，方案不完善或有缺陷（不完善 或有缺陷是指： 方案粗略 、逻辑混乱 、描述过于简 单 、与项 目特点不匹配 、 凭空编造 、逻辑漏洞 、 出现常识性错误 、套用其他项目方案 、存在不可能实现的夸大情形 、存在不适用项 目实际情况的情形） 每项扣1 分 ，方案缺漏项或只有标题没有实质性内容的每项扣3分 ， 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 目制定资源配备计划包含： ①劳动力计划②主要材料供应计划③施工机械设备配备计划。方案合理完整的计 6 分 ， 方案不完善或有缺陷 （不完善或有缺陷是指： 方案粗略 、逻辑混乱 、描 述过于简单 、与项 目特点不匹配 、 凭空编造 、逻辑 漏洞 、 出现常识性错误 、套用其他项 目方案 、存在 不可能实现的夸大情形 、存在不适用项 目实际情况 的情形） 每项扣 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①施工过程 中的相关承诺②投入材料质量承诺③质量保修期服务承诺④服务响应时间 。服务承诺合理 、可行的计 4 分 ，方案不完善或有缺陷（不完善或有缺陷是 指 ：方案粗略 、逻辑混乱 、描述过于简单 、与项 目 特点不匹配 、 凭空编造 、逻辑漏洞 、 出现常识性错 误 、套用其他项 目方案 、存在不可能实现的夸大情 形 、存在不适用项 目实际情况的情形） 每项扣 0.5 分 ，方案缺漏项或只有标题没有实质性内容的每项扣 1 分 ， 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近三年完成的类似业绩一项得2分，最多得6分（提供2022年6月1日至今类似工程；投标文件中须附类似工程业绩中标通知书或合同协议书或竣工验收证明材料复印件或扫描件，并加盖公章）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