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版本号：ZZT-CG-2025110120251120001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富平县2024年度城市空间监测工作项目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ZZT-CG-20251101</w:t>
      </w:r>
      <w:r>
        <w:br/>
      </w:r>
      <w:r>
        <w:br/>
      </w:r>
      <w:r>
        <w:br/>
      </w:r>
    </w:p>
    <w:p>
      <w:pPr>
        <w:pStyle w:val="null3"/>
        <w:jc w:val="center"/>
        <w:outlineLvl w:val="2"/>
      </w:pPr>
      <w:r>
        <w:rPr>
          <w:rFonts w:ascii="仿宋_GB2312" w:hAnsi="仿宋_GB2312" w:cs="仿宋_GB2312" w:eastAsia="仿宋_GB2312"/>
          <w:sz w:val="28"/>
          <w:b/>
        </w:rPr>
        <w:t>富平县自然资源局（本级）</w:t>
      </w:r>
    </w:p>
    <w:p>
      <w:pPr>
        <w:pStyle w:val="null3"/>
        <w:jc w:val="center"/>
        <w:outlineLvl w:val="2"/>
      </w:pPr>
      <w:r>
        <w:rPr>
          <w:rFonts w:ascii="仿宋_GB2312" w:hAnsi="仿宋_GB2312" w:cs="仿宋_GB2312" w:eastAsia="仿宋_GB2312"/>
          <w:sz w:val="28"/>
          <w:b/>
        </w:rPr>
        <w:t>中智投工程管理有限公司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中智投工程管理有限公司</w:t>
      </w:r>
      <w:r>
        <w:rPr>
          <w:rFonts w:ascii="仿宋_GB2312" w:hAnsi="仿宋_GB2312" w:cs="仿宋_GB2312" w:eastAsia="仿宋_GB2312"/>
        </w:rPr>
        <w:t>（以下简称“代理机构”）受</w:t>
      </w:r>
      <w:r>
        <w:rPr>
          <w:rFonts w:ascii="仿宋_GB2312" w:hAnsi="仿宋_GB2312" w:cs="仿宋_GB2312" w:eastAsia="仿宋_GB2312"/>
        </w:rPr>
        <w:t>富平县自然资源局（本级）</w:t>
      </w:r>
      <w:r>
        <w:rPr>
          <w:rFonts w:ascii="仿宋_GB2312" w:hAnsi="仿宋_GB2312" w:cs="仿宋_GB2312" w:eastAsia="仿宋_GB2312"/>
        </w:rPr>
        <w:t>委托，拟对</w:t>
      </w:r>
      <w:r>
        <w:rPr>
          <w:rFonts w:ascii="仿宋_GB2312" w:hAnsi="仿宋_GB2312" w:cs="仿宋_GB2312" w:eastAsia="仿宋_GB2312"/>
        </w:rPr>
        <w:t>富平县2024年度城市空间监测工作项目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ZZT-CG-20251101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富平县2024年度城市空间监测工作项目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依据《渭南市自然资源和规划局关于开展渭南市2024年度城市国土空间监测工作的通知》(渭自然资发〔2024〕149号)，以 2023 年国土变更调查成果为底图，依据 2024 年高分辨率遥感影像和最新的相关专题资料，综合采用内业解译和实地调查等方法，在全市开展城市国土空间监测工作，掌握城市建设总量、用地结构、基础设施和服务功能等情况，支撑城市建设用地细化、国土空间规划编制及实施监督、城市体检评估和用途管制等国土空间治理工作。根据省、市统一安排，全面开展富平县城市国土空间监测服务项目的各项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采购包1（富平县2024年度城市空间监测工作项目）：属于专门面向中小企业采购。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2、法定代表人授权委托书：供应商应授权合法的人员参加磋商，其中法定代表人直接参加的，须附法定代表人身份证，并与营业执照上信息一致；被授权代表参加的，须附法定代表人授权书及被授权人身份证</w:t>
      </w:r>
    </w:p>
    <w:p>
      <w:pPr>
        <w:pStyle w:val="null3"/>
      </w:pPr>
      <w:r>
        <w:rPr>
          <w:rFonts w:ascii="仿宋_GB2312" w:hAnsi="仿宋_GB2312" w:cs="仿宋_GB2312" w:eastAsia="仿宋_GB2312"/>
        </w:rPr>
        <w:t>3、项目负责人：供应商拟派项目负责人须具备测绘专业中级或以上职称；</w:t>
      </w:r>
    </w:p>
    <w:p>
      <w:pPr>
        <w:pStyle w:val="null3"/>
      </w:pPr>
      <w:r>
        <w:rPr>
          <w:rFonts w:ascii="仿宋_GB2312" w:hAnsi="仿宋_GB2312" w:cs="仿宋_GB2312" w:eastAsia="仿宋_GB2312"/>
        </w:rPr>
        <w:t>4、资质证书：供应商须提供行政主管部门颁发的测绘乙级以上（含乙级）资质证书</w:t>
      </w:r>
    </w:p>
    <w:p>
      <w:pPr>
        <w:pStyle w:val="null3"/>
      </w:pPr>
      <w:r>
        <w:rPr>
          <w:rFonts w:ascii="仿宋_GB2312" w:hAnsi="仿宋_GB2312" w:cs="仿宋_GB2312" w:eastAsia="仿宋_GB2312"/>
        </w:rPr>
        <w:t>5、社会保障资金证明：提供 2025 年1月 1 日以来已缴存的至少三个月的社会保障资金缴存单据或社保机构开具的社会保险参保缴费情况证明。依法不需要缴纳社会保障资金的供应商应提供相关文件证明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6、依法缴纳税收证明：提供 2025年 1 月 1 日以来已缴纳的至少三个月的纳税证明或完税证明，纳税证明或完税证明上应有代收机构或税务机关的公章。依法免税的供应商应提供相关文件证明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健全的财务会计制度：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8、网站截图：供应商未被列入“信用中国”网站(www.creditchina.gov.cn)“记录列入失信被执行人和重大税收违法失信主体截图；不处于中国政府采购网(www.ccgp. gov.cn)“政府采购严重违法失信行为信息记录 ”中的禁止参加政府采购活动期间截图</w:t>
      </w:r>
    </w:p>
    <w:p>
      <w:pPr>
        <w:pStyle w:val="null3"/>
      </w:pPr>
      <w:r>
        <w:rPr>
          <w:rFonts w:ascii="仿宋_GB2312" w:hAnsi="仿宋_GB2312" w:cs="仿宋_GB2312" w:eastAsia="仿宋_GB2312"/>
        </w:rPr>
        <w:t>9、书面声明：参加本次政府采购活动前三年内在经营活动中没有重大违纪的书面声明</w:t>
      </w:r>
    </w:p>
    <w:p>
      <w:pPr>
        <w:pStyle w:val="null3"/>
      </w:pPr>
      <w:r>
        <w:rPr>
          <w:rFonts w:ascii="仿宋_GB2312" w:hAnsi="仿宋_GB2312" w:cs="仿宋_GB2312" w:eastAsia="仿宋_GB2312"/>
        </w:rPr>
        <w:t>10、书面承诺：提供具有履行本合同所必需的设备和专业技术能力的说明（提供书面承诺）</w:t>
      </w:r>
    </w:p>
    <w:p>
      <w:pPr>
        <w:pStyle w:val="null3"/>
      </w:pPr>
      <w:r>
        <w:rPr>
          <w:rFonts w:ascii="仿宋_GB2312" w:hAnsi="仿宋_GB2312" w:cs="仿宋_GB2312" w:eastAsia="仿宋_GB2312"/>
        </w:rPr>
        <w:t>11、书面承诺：供应商单位负责人为同一人或者存在直接控股、管理关系的，不得参加同一合同项下的政府采购活动（提供书面承诺）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富平县自然资源局（本级）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富平县莲湖大街东段83号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王晓东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13991686586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中智投工程管理有限公司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陕西省西安市未央区渭滨路70号水晶卡芭拉11号楼1单元11301室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18392944018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开户名称：中智投工程管理有限公司富平县分公司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银行账号：61050164830800003047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富平县自然资源局（本级）</w:t>
      </w:r>
      <w:r>
        <w:rPr>
          <w:rFonts w:ascii="仿宋_GB2312" w:hAnsi="仿宋_GB2312" w:cs="仿宋_GB2312" w:eastAsia="仿宋_GB2312"/>
        </w:rPr>
        <w:t>和</w:t>
      </w:r>
      <w:r>
        <w:rPr>
          <w:rFonts w:ascii="仿宋_GB2312" w:hAnsi="仿宋_GB2312" w:cs="仿宋_GB2312" w:eastAsia="仿宋_GB2312"/>
        </w:rPr>
        <w:t>中智投工程管理有限公司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富平县自然资源局（本级）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中智投工程管理有限公司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富平县自然资源局（本级）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中智投工程管理有限公司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中智投工程管理有限公司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联系人：卢苗</w:t>
      </w:r>
    </w:p>
    <w:p>
      <w:pPr>
        <w:pStyle w:val="null3"/>
      </w:pPr>
      <w:r>
        <w:rPr>
          <w:rFonts w:ascii="仿宋_GB2312" w:hAnsi="仿宋_GB2312" w:cs="仿宋_GB2312" w:eastAsia="仿宋_GB2312"/>
        </w:rPr>
        <w:t>联系电话：18392944018</w:t>
      </w:r>
    </w:p>
    <w:p>
      <w:pPr>
        <w:pStyle w:val="null3"/>
      </w:pPr>
      <w:r>
        <w:rPr>
          <w:rFonts w:ascii="仿宋_GB2312" w:hAnsi="仿宋_GB2312" w:cs="仿宋_GB2312" w:eastAsia="仿宋_GB2312"/>
        </w:rPr>
        <w:t>地址：陕西省西安市未央区渭滨路70号水晶卡芭拉11号楼1单元11301室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依据《渭南市自然资源和规划局关于开展渭南市2024年度城市国土空间监测工作的通知》(渭自然资发〔2024〕149号)，以 2023 年国土变更调查成果为底图，依据 2024 年高分辨率遥感影像和最新的相关专题资料，综合采用内业解译和实地调查等方法，在全市开展城市国土空间监测工作，掌握城市建设总量、用地结构、基础设施和服务功能等情况，支撑城市建设用地细化、国土空间规划编制及实施监督、城市体检评估和用途管制等国土空间治理工作。根据省、市统一安排，全面开展富平县城市国土空间监测服务项目的各项工作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富平县2024年度城市空间监测工作项目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标的名称：富平县2024年度城市空间监测工作项目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jc w:val="left"/>
            </w:pPr>
            <w:r>
              <w:rPr>
                <w:rFonts w:ascii="仿宋_GB2312" w:hAnsi="仿宋_GB2312" w:cs="仿宋_GB2312" w:eastAsia="仿宋_GB2312"/>
                <w:sz w:val="24"/>
                <w:b/>
                <w:color w:val="000000"/>
              </w:rPr>
              <w:t>一、项目名称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富平县</w:t>
            </w:r>
            <w:r>
              <w:rPr>
                <w:rFonts w:ascii="仿宋_GB2312" w:hAnsi="仿宋_GB2312" w:cs="仿宋_GB2312" w:eastAsia="仿宋_GB2312"/>
                <w:sz w:val="24"/>
                <w:color w:val="000000"/>
              </w:rPr>
              <w:t>2024年度城市空间监测工作项目</w:t>
            </w:r>
          </w:p>
          <w:p>
            <w:pPr>
              <w:pStyle w:val="null3"/>
              <w:spacing w:before="285"/>
              <w:jc w:val="left"/>
            </w:pPr>
            <w:r>
              <w:rPr>
                <w:rFonts w:ascii="仿宋_GB2312" w:hAnsi="仿宋_GB2312" w:cs="仿宋_GB2312" w:eastAsia="仿宋_GB2312"/>
                <w:sz w:val="24"/>
                <w:b/>
                <w:color w:val="000000"/>
              </w:rPr>
              <w:t>二、工作背景</w:t>
            </w:r>
          </w:p>
          <w:p>
            <w:pPr>
              <w:pStyle w:val="null3"/>
              <w:spacing w:before="210"/>
              <w:ind w:firstLine="494"/>
              <w:jc w:val="both"/>
            </w:pPr>
            <w:r>
              <w:rPr>
                <w:rFonts w:ascii="仿宋_GB2312" w:hAnsi="仿宋_GB2312" w:cs="仿宋_GB2312" w:eastAsia="仿宋_GB2312"/>
                <w:sz w:val="24"/>
                <w:color w:val="000000"/>
              </w:rPr>
              <w:t>依据</w:t>
            </w:r>
            <w:r>
              <w:rPr>
                <w:rFonts w:ascii="仿宋_GB2312" w:hAnsi="仿宋_GB2312" w:cs="仿宋_GB2312" w:eastAsia="仿宋_GB2312"/>
                <w:sz w:val="24"/>
                <w:color w:val="000000"/>
              </w:rPr>
              <w:t>《渭南市自然资源和规划局关于开展渭南市</w:t>
            </w:r>
            <w:r>
              <w:rPr>
                <w:rFonts w:ascii="仿宋_GB2312" w:hAnsi="仿宋_GB2312" w:cs="仿宋_GB2312" w:eastAsia="仿宋_GB2312"/>
                <w:sz w:val="24"/>
                <w:color w:val="000000"/>
              </w:rPr>
              <w:t>2024年度城市国土空间监测工作的通知》(渭自然资发〔2024〕149号)</w:t>
            </w:r>
            <w:r>
              <w:rPr>
                <w:rFonts w:ascii="仿宋_GB2312" w:hAnsi="仿宋_GB2312" w:cs="仿宋_GB2312" w:eastAsia="仿宋_GB2312"/>
                <w:sz w:val="24"/>
                <w:color w:val="000000"/>
              </w:rPr>
              <w:t>，</w:t>
            </w:r>
            <w:r>
              <w:rPr>
                <w:rFonts w:ascii="仿宋_GB2312" w:hAnsi="仿宋_GB2312" w:cs="仿宋_GB2312" w:eastAsia="仿宋_GB2312"/>
                <w:sz w:val="24"/>
                <w:color w:val="000000"/>
              </w:rPr>
              <w:t>以</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年国土变</w:t>
            </w:r>
            <w:r>
              <w:rPr>
                <w:rFonts w:ascii="仿宋_GB2312" w:hAnsi="仿宋_GB2312" w:cs="仿宋_GB2312" w:eastAsia="仿宋_GB2312"/>
                <w:sz w:val="24"/>
                <w:color w:val="000000"/>
              </w:rPr>
              <w:t>更调查成果为底图，依据</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年高分辨率</w:t>
            </w:r>
            <w:r>
              <w:rPr>
                <w:rFonts w:ascii="仿宋_GB2312" w:hAnsi="仿宋_GB2312" w:cs="仿宋_GB2312" w:eastAsia="仿宋_GB2312"/>
                <w:sz w:val="24"/>
                <w:color w:val="000000"/>
              </w:rPr>
              <w:t>遥感影像和最新的相关专题资料，综合采用内业解译和实</w:t>
            </w:r>
            <w:r>
              <w:rPr>
                <w:rFonts w:ascii="仿宋_GB2312" w:hAnsi="仿宋_GB2312" w:cs="仿宋_GB2312" w:eastAsia="仿宋_GB2312"/>
                <w:sz w:val="24"/>
                <w:color w:val="000000"/>
              </w:rPr>
              <w:t>地调查等方法，在全市开展</w:t>
            </w:r>
            <w:r>
              <w:rPr>
                <w:rFonts w:ascii="仿宋_GB2312" w:hAnsi="仿宋_GB2312" w:cs="仿宋_GB2312" w:eastAsia="仿宋_GB2312"/>
                <w:sz w:val="24"/>
                <w:color w:val="000000"/>
              </w:rPr>
              <w:t>城市国土空间监测工作，掌握城市建设总量、用地结构、基础设施和服务功能等情</w:t>
            </w:r>
            <w:r>
              <w:rPr>
                <w:rFonts w:ascii="仿宋_GB2312" w:hAnsi="仿宋_GB2312" w:cs="仿宋_GB2312" w:eastAsia="仿宋_GB2312"/>
                <w:sz w:val="24"/>
                <w:color w:val="000000"/>
              </w:rPr>
              <w:t>况，</w:t>
            </w:r>
            <w:r>
              <w:rPr>
                <w:rFonts w:ascii="仿宋_GB2312" w:hAnsi="仿宋_GB2312" w:cs="仿宋_GB2312" w:eastAsia="仿宋_GB2312"/>
                <w:sz w:val="24"/>
                <w:color w:val="000000"/>
              </w:rPr>
              <w:t>支撑城市建设用地细化、国土空间规划编制及实施监督、</w:t>
            </w:r>
            <w:r>
              <w:rPr>
                <w:rFonts w:ascii="仿宋_GB2312" w:hAnsi="仿宋_GB2312" w:cs="仿宋_GB2312" w:eastAsia="仿宋_GB2312"/>
                <w:sz w:val="24"/>
                <w:color w:val="000000"/>
              </w:rPr>
              <w:t>城市体检评估和用途管制等</w:t>
            </w:r>
            <w:r>
              <w:rPr>
                <w:rFonts w:ascii="仿宋_GB2312" w:hAnsi="仿宋_GB2312" w:cs="仿宋_GB2312" w:eastAsia="仿宋_GB2312"/>
                <w:sz w:val="24"/>
                <w:color w:val="000000"/>
              </w:rPr>
              <w:t>国土空间治理工作。根据省、市统一安排，全面开展</w:t>
            </w:r>
            <w:r>
              <w:rPr>
                <w:rFonts w:ascii="仿宋_GB2312" w:hAnsi="仿宋_GB2312" w:cs="仿宋_GB2312" w:eastAsia="仿宋_GB2312"/>
                <w:sz w:val="24"/>
                <w:color w:val="000000"/>
              </w:rPr>
              <w:t>富平县</w:t>
            </w:r>
            <w:r>
              <w:rPr>
                <w:rFonts w:ascii="仿宋_GB2312" w:hAnsi="仿宋_GB2312" w:cs="仿宋_GB2312" w:eastAsia="仿宋_GB2312"/>
                <w:sz w:val="24"/>
                <w:color w:val="000000"/>
              </w:rPr>
              <w:t>城市国土空间监测服务项目的各项工作内容。</w:t>
            </w:r>
          </w:p>
          <w:p>
            <w:pPr>
              <w:pStyle w:val="null3"/>
              <w:jc w:val="left"/>
            </w:pPr>
            <w:r>
              <w:rPr>
                <w:rFonts w:ascii="仿宋_GB2312" w:hAnsi="仿宋_GB2312" w:cs="仿宋_GB2312" w:eastAsia="仿宋_GB2312"/>
                <w:sz w:val="24"/>
                <w:b/>
                <w:color w:val="000000"/>
              </w:rPr>
              <w:t>三、服务内容</w:t>
            </w:r>
          </w:p>
          <w:p>
            <w:pPr>
              <w:pStyle w:val="null3"/>
              <w:spacing w:before="210"/>
              <w:ind w:left="510"/>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监测要素范围</w:t>
            </w:r>
          </w:p>
          <w:p>
            <w:pPr>
              <w:pStyle w:val="null3"/>
              <w:spacing w:before="210"/>
              <w:ind w:right="60" w:firstLine="491"/>
              <w:jc w:val="left"/>
            </w:pPr>
            <w:r>
              <w:rPr>
                <w:rFonts w:ascii="仿宋_GB2312" w:hAnsi="仿宋_GB2312" w:cs="仿宋_GB2312" w:eastAsia="仿宋_GB2312"/>
                <w:sz w:val="24"/>
                <w:color w:val="000000"/>
              </w:rPr>
              <w:t>工作范围包括全域范围和城区范围两类。全域范围指整个行政区域，城区范围为</w:t>
            </w:r>
            <w:r>
              <w:rPr>
                <w:rFonts w:ascii="仿宋_GB2312" w:hAnsi="仿宋_GB2312" w:cs="仿宋_GB2312" w:eastAsia="仿宋_GB2312"/>
                <w:sz w:val="24"/>
                <w:color w:val="000000"/>
              </w:rPr>
              <w:t>省厅下发的城区范围与</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年度国土变更调查确定的城市</w:t>
            </w:r>
            <w:r>
              <w:rPr>
                <w:rFonts w:ascii="仿宋_GB2312" w:hAnsi="仿宋_GB2312" w:cs="仿宋_GB2312" w:eastAsia="仿宋_GB2312"/>
                <w:sz w:val="24"/>
                <w:color w:val="000000"/>
              </w:rPr>
              <w:t>(201，不含县级市和县)范</w:t>
            </w:r>
            <w:r>
              <w:rPr>
                <w:rFonts w:ascii="仿宋_GB2312" w:hAnsi="仿宋_GB2312" w:cs="仿宋_GB2312" w:eastAsia="仿宋_GB2312"/>
                <w:sz w:val="24"/>
                <w:color w:val="000000"/>
              </w:rPr>
              <w:t>围的并集。</w:t>
            </w:r>
          </w:p>
          <w:p>
            <w:pPr>
              <w:pStyle w:val="null3"/>
              <w:ind w:left="510"/>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监测要素采集</w:t>
            </w:r>
          </w:p>
          <w:p>
            <w:pPr>
              <w:pStyle w:val="null3"/>
              <w:spacing w:before="210"/>
              <w:ind w:right="60" w:firstLine="519"/>
              <w:jc w:val="left"/>
            </w:pPr>
            <w:r>
              <w:rPr>
                <w:rFonts w:ascii="仿宋_GB2312" w:hAnsi="仿宋_GB2312" w:cs="仿宋_GB2312" w:eastAsia="仿宋_GB2312"/>
                <w:sz w:val="24"/>
                <w:color w:val="000000"/>
              </w:rPr>
              <w:t>以</w:t>
            </w:r>
            <w:r>
              <w:rPr>
                <w:rFonts w:ascii="仿宋_GB2312" w:hAnsi="仿宋_GB2312" w:cs="仿宋_GB2312" w:eastAsia="仿宋_GB2312"/>
                <w:sz w:val="24"/>
                <w:color w:val="000000"/>
              </w:rPr>
              <w:t xml:space="preserve"> 2023</w:t>
            </w:r>
            <w:r>
              <w:rPr>
                <w:rFonts w:ascii="仿宋_GB2312" w:hAnsi="仿宋_GB2312" w:cs="仿宋_GB2312" w:eastAsia="仿宋_GB2312"/>
                <w:sz w:val="24"/>
                <w:color w:val="000000"/>
              </w:rPr>
              <w:t>年度国土变更调查成果为底图，以收集的资料为指引，</w:t>
            </w:r>
            <w:r>
              <w:rPr>
                <w:rFonts w:ascii="仿宋_GB2312" w:hAnsi="仿宋_GB2312" w:cs="仿宋_GB2312" w:eastAsia="仿宋_GB2312"/>
                <w:sz w:val="24"/>
                <w:color w:val="000000"/>
              </w:rPr>
              <w:t>叠加最新遥感影</w:t>
            </w:r>
            <w:r>
              <w:rPr>
                <w:rFonts w:ascii="仿宋_GB2312" w:hAnsi="仿宋_GB2312" w:cs="仿宋_GB2312" w:eastAsia="仿宋_GB2312"/>
                <w:sz w:val="24"/>
                <w:color w:val="000000"/>
              </w:rPr>
              <w:t>像，综合利用内业解译、实地调查等方法，确定相关监测</w:t>
            </w:r>
            <w:r>
              <w:rPr>
                <w:rFonts w:ascii="仿宋_GB2312" w:hAnsi="仿宋_GB2312" w:cs="仿宋_GB2312" w:eastAsia="仿宋_GB2312"/>
                <w:sz w:val="24"/>
                <w:color w:val="000000"/>
              </w:rPr>
              <w:t>要素的位置、占地范围和相</w:t>
            </w:r>
            <w:r>
              <w:rPr>
                <w:rFonts w:ascii="仿宋_GB2312" w:hAnsi="仿宋_GB2312" w:cs="仿宋_GB2312" w:eastAsia="仿宋_GB2312"/>
                <w:sz w:val="24"/>
                <w:color w:val="000000"/>
              </w:rPr>
              <w:t>关属性等。</w:t>
            </w:r>
          </w:p>
          <w:p>
            <w:pPr>
              <w:pStyle w:val="null3"/>
              <w:ind w:left="510"/>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水网路网更新</w:t>
            </w:r>
          </w:p>
          <w:p>
            <w:pPr>
              <w:pStyle w:val="null3"/>
              <w:spacing w:before="210"/>
              <w:ind w:right="60" w:firstLine="488"/>
              <w:jc w:val="left"/>
            </w:pPr>
            <w:r>
              <w:rPr>
                <w:rFonts w:ascii="仿宋_GB2312" w:hAnsi="仿宋_GB2312" w:cs="仿宋_GB2312" w:eastAsia="仿宋_GB2312"/>
                <w:sz w:val="24"/>
                <w:color w:val="000000"/>
              </w:rPr>
              <w:t>依托各类数据资料，对省厅下发的水网数据、路网数据进行更新，必要时可开展实际补充调查</w:t>
            </w:r>
            <w:r>
              <w:rPr>
                <w:rFonts w:ascii="仿宋_GB2312" w:hAnsi="仿宋_GB2312" w:cs="仿宋_GB2312" w:eastAsia="仿宋_GB2312"/>
                <w:sz w:val="24"/>
                <w:color w:val="000000"/>
              </w:rPr>
              <w:t>,保持水网路网数据的现势性。</w:t>
            </w:r>
          </w:p>
          <w:p>
            <w:pPr>
              <w:pStyle w:val="null3"/>
              <w:spacing w:before="210"/>
              <w:ind w:left="51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监测成果汇总分析</w:t>
            </w:r>
          </w:p>
          <w:p>
            <w:pPr>
              <w:pStyle w:val="null3"/>
              <w:spacing w:before="210"/>
              <w:ind w:right="60" w:firstLine="488"/>
              <w:jc w:val="left"/>
            </w:pPr>
            <w:r>
              <w:rPr>
                <w:rFonts w:ascii="仿宋_GB2312" w:hAnsi="仿宋_GB2312" w:cs="仿宋_GB2312" w:eastAsia="仿宋_GB2312"/>
                <w:sz w:val="24"/>
                <w:color w:val="000000"/>
              </w:rPr>
              <w:t>监测成果逐级向国家汇交，经国家抽查合格后，市、区</w:t>
            </w:r>
            <w:r>
              <w:rPr>
                <w:rFonts w:ascii="仿宋_GB2312" w:hAnsi="仿宋_GB2312" w:cs="仿宋_GB2312" w:eastAsia="仿宋_GB2312"/>
                <w:sz w:val="24"/>
                <w:color w:val="000000"/>
              </w:rPr>
              <w:t>(县)分别将本地区监测成</w:t>
            </w:r>
            <w:r>
              <w:rPr>
                <w:rFonts w:ascii="仿宋_GB2312" w:hAnsi="仿宋_GB2312" w:cs="仿宋_GB2312" w:eastAsia="仿宋_GB2312"/>
                <w:sz w:val="24"/>
                <w:color w:val="000000"/>
              </w:rPr>
              <w:t>果纳入自然资源三维立体时空数据库，并进行</w:t>
            </w:r>
            <w:r>
              <w:rPr>
                <w:rFonts w:ascii="仿宋_GB2312" w:hAnsi="仿宋_GB2312" w:cs="仿宋_GB2312" w:eastAsia="仿宋_GB2312"/>
                <w:sz w:val="24"/>
                <w:color w:val="000000"/>
              </w:rPr>
              <w:t>统计汇总分析。尚未建立自然资源三维</w:t>
            </w:r>
            <w:r>
              <w:rPr>
                <w:rFonts w:ascii="仿宋_GB2312" w:hAnsi="仿宋_GB2312" w:cs="仿宋_GB2312" w:eastAsia="仿宋_GB2312"/>
                <w:sz w:val="24"/>
                <w:color w:val="000000"/>
              </w:rPr>
              <w:t>立体时空数据库的市、区</w:t>
            </w:r>
            <w:r>
              <w:rPr>
                <w:rFonts w:ascii="仿宋_GB2312" w:hAnsi="仿宋_GB2312" w:cs="仿宋_GB2312" w:eastAsia="仿宋_GB2312"/>
                <w:sz w:val="24"/>
                <w:color w:val="000000"/>
              </w:rPr>
              <w:t>(县)，将监测成果纳入相应系统进行统计汇总分析。</w:t>
            </w:r>
          </w:p>
          <w:p>
            <w:pPr>
              <w:pStyle w:val="null3"/>
              <w:spacing w:before="210"/>
              <w:ind w:left="51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数据库分析</w:t>
            </w:r>
          </w:p>
          <w:p>
            <w:pPr>
              <w:pStyle w:val="null3"/>
              <w:spacing w:before="210"/>
              <w:ind w:right="60" w:firstLine="491"/>
              <w:jc w:val="left"/>
            </w:pPr>
            <w:r>
              <w:rPr>
                <w:rFonts w:ascii="仿宋_GB2312" w:hAnsi="仿宋_GB2312" w:cs="仿宋_GB2312" w:eastAsia="仿宋_GB2312"/>
                <w:sz w:val="24"/>
                <w:color w:val="000000"/>
              </w:rPr>
              <w:t>基于市级监测成果进行统计分析汇总形成的数据成果，数据库采用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g</w:t>
            </w:r>
            <w:r>
              <w:rPr>
                <w:rFonts w:ascii="仿宋_GB2312" w:hAnsi="仿宋_GB2312" w:cs="仿宋_GB2312" w:eastAsia="仿宋_GB2312"/>
                <w:sz w:val="24"/>
                <w:color w:val="000000"/>
              </w:rPr>
              <w:t>db</w:t>
            </w:r>
            <w:r>
              <w:rPr>
                <w:rFonts w:ascii="仿宋_GB2312" w:hAnsi="仿宋_GB2312" w:cs="仿宋_GB2312" w:eastAsia="仿宋_GB2312"/>
                <w:sz w:val="24"/>
                <w:color w:val="000000"/>
              </w:rPr>
              <w:t>格式，建</w:t>
            </w:r>
            <w:r>
              <w:rPr>
                <w:rFonts w:ascii="仿宋_GB2312" w:hAnsi="仿宋_GB2312" w:cs="仿宋_GB2312" w:eastAsia="仿宋_GB2312"/>
                <w:sz w:val="24"/>
                <w:color w:val="000000"/>
              </w:rPr>
              <w:t>立</w:t>
            </w:r>
            <w:r>
              <w:rPr>
                <w:rFonts w:ascii="仿宋_GB2312" w:hAnsi="仿宋_GB2312" w:cs="仿宋_GB2312" w:eastAsia="仿宋_GB2312"/>
                <w:sz w:val="24"/>
                <w:color w:val="000000"/>
              </w:rPr>
              <w:t>富平县</w:t>
            </w:r>
            <w:r>
              <w:rPr>
                <w:rFonts w:ascii="仿宋_GB2312" w:hAnsi="仿宋_GB2312" w:cs="仿宋_GB2312" w:eastAsia="仿宋_GB2312"/>
                <w:sz w:val="24"/>
                <w:color w:val="000000"/>
              </w:rPr>
              <w:t>城市国土空间监测服务项目数据库。</w:t>
            </w:r>
          </w:p>
          <w:p>
            <w:pPr>
              <w:pStyle w:val="null3"/>
              <w:ind w:left="15"/>
              <w:jc w:val="left"/>
            </w:pPr>
            <w:r>
              <w:rPr>
                <w:rFonts w:ascii="仿宋_GB2312" w:hAnsi="仿宋_GB2312" w:cs="仿宋_GB2312" w:eastAsia="仿宋_GB2312"/>
                <w:sz w:val="24"/>
                <w:b/>
                <w:color w:val="000000"/>
              </w:rPr>
              <w:t>四、服务质量标准及要求</w:t>
            </w:r>
          </w:p>
          <w:p>
            <w:pPr>
              <w:pStyle w:val="null3"/>
              <w:spacing w:before="210"/>
              <w:ind w:left="510"/>
              <w:jc w:val="left"/>
            </w:pPr>
            <w:r>
              <w:rPr>
                <w:rFonts w:ascii="仿宋_GB2312" w:hAnsi="仿宋_GB2312" w:cs="仿宋_GB2312" w:eastAsia="仿宋_GB2312"/>
                <w:sz w:val="24"/>
                <w:color w:val="000000"/>
              </w:rPr>
              <w:t>1、质量标准：达到国家现行验收规范的合格要求。</w:t>
            </w:r>
          </w:p>
          <w:p>
            <w:pPr>
              <w:pStyle w:val="null3"/>
              <w:spacing w:before="210"/>
              <w:ind w:right="60" w:firstLine="492"/>
              <w:jc w:val="left"/>
            </w:pPr>
            <w:r>
              <w:rPr>
                <w:rFonts w:ascii="仿宋_GB2312" w:hAnsi="仿宋_GB2312" w:cs="仿宋_GB2312" w:eastAsia="仿宋_GB2312"/>
                <w:sz w:val="24"/>
                <w:color w:val="000000"/>
              </w:rPr>
              <w:t>2、严格遵守国家有关法律、法规、执行国家相关规范和技术标准、</w:t>
            </w:r>
            <w:r>
              <w:rPr>
                <w:rFonts w:ascii="仿宋_GB2312" w:hAnsi="仿宋_GB2312" w:cs="仿宋_GB2312" w:eastAsia="仿宋_GB2312"/>
                <w:sz w:val="24"/>
                <w:color w:val="000000"/>
              </w:rPr>
              <w:t>规定，并对</w:t>
            </w:r>
            <w:r>
              <w:rPr>
                <w:rFonts w:ascii="仿宋_GB2312" w:hAnsi="仿宋_GB2312" w:cs="仿宋_GB2312" w:eastAsia="仿宋_GB2312"/>
                <w:sz w:val="24"/>
                <w:color w:val="000000"/>
              </w:rPr>
              <w:t>成果负责。</w:t>
            </w:r>
          </w:p>
          <w:p>
            <w:pPr>
              <w:pStyle w:val="null3"/>
              <w:spacing w:before="210"/>
              <w:ind w:left="495"/>
              <w:jc w:val="left"/>
            </w:pPr>
            <w:r>
              <w:rPr>
                <w:rFonts w:ascii="仿宋_GB2312" w:hAnsi="仿宋_GB2312" w:cs="仿宋_GB2312" w:eastAsia="仿宋_GB2312"/>
                <w:sz w:val="24"/>
                <w:color w:val="000000"/>
              </w:rPr>
              <w:t>3、满足国家基础地理信息中心和陕西省自然资源厅对本项目的要求。</w:t>
            </w:r>
          </w:p>
          <w:p>
            <w:pPr>
              <w:pStyle w:val="null3"/>
              <w:spacing w:before="210"/>
              <w:jc w:val="left"/>
            </w:pPr>
            <w:r>
              <w:rPr>
                <w:rFonts w:ascii="仿宋_GB2312" w:hAnsi="仿宋_GB2312" w:cs="仿宋_GB2312" w:eastAsia="仿宋_GB2312"/>
                <w:sz w:val="24"/>
                <w:b/>
                <w:color w:val="000000"/>
              </w:rPr>
              <w:t>五、技术要求</w:t>
            </w:r>
          </w:p>
          <w:p>
            <w:pPr>
              <w:pStyle w:val="null3"/>
              <w:spacing w:before="210"/>
              <w:jc w:val="left"/>
            </w:pPr>
            <w:r>
              <w:rPr>
                <w:rFonts w:ascii="仿宋_GB2312" w:hAnsi="仿宋_GB2312" w:cs="仿宋_GB2312" w:eastAsia="仿宋_GB2312"/>
                <w:sz w:val="24"/>
                <w:color w:val="000000"/>
              </w:rPr>
              <w:t xml:space="preserve">   1、《自然资源调查监测质量管理导则（试行）》（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自然资办发（</w:t>
            </w:r>
            <w:r>
              <w:rPr>
                <w:rFonts w:ascii="仿宋_GB2312" w:hAnsi="仿宋_GB2312" w:cs="仿宋_GB2312" w:eastAsia="仿宋_GB2312"/>
                <w:sz w:val="24"/>
                <w:color w:val="000000"/>
              </w:rPr>
              <w:t>2021）49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 xml:space="preserve">）； </w:t>
            </w:r>
          </w:p>
          <w:p>
            <w:pPr>
              <w:pStyle w:val="null3"/>
              <w:spacing w:before="21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2、《自然资源部办公厅关于开展</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2024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年城市国土空间监测工</w:t>
            </w:r>
            <w:r>
              <w:rPr>
                <w:rFonts w:ascii="仿宋_GB2312" w:hAnsi="仿宋_GB2312" w:cs="仿宋_GB2312" w:eastAsia="仿宋_GB2312"/>
                <w:sz w:val="24"/>
                <w:color w:val="000000"/>
              </w:rPr>
              <w:t>作的通知》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(自然</w:t>
            </w:r>
            <w:r>
              <w:rPr>
                <w:rFonts w:ascii="仿宋_GB2312" w:hAnsi="仿宋_GB2312" w:cs="仿宋_GB2312" w:eastAsia="仿宋_GB2312"/>
                <w:sz w:val="24"/>
                <w:color w:val="000000"/>
              </w:rPr>
              <w:t>资办发〔</w:t>
            </w:r>
            <w:r>
              <w:rPr>
                <w:rFonts w:ascii="仿宋_GB2312" w:hAnsi="仿宋_GB2312" w:cs="仿宋_GB2312" w:eastAsia="仿宋_GB2312"/>
                <w:sz w:val="24"/>
                <w:color w:val="000000"/>
              </w:rPr>
              <w:t>2024〕20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-附件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1《2024 年城市国土空间监测实</w:t>
            </w:r>
            <w:r>
              <w:rPr>
                <w:rFonts w:ascii="仿宋_GB2312" w:hAnsi="仿宋_GB2312" w:cs="仿宋_GB2312" w:eastAsia="仿宋_GB2312"/>
                <w:sz w:val="24"/>
                <w:color w:val="000000"/>
              </w:rPr>
              <w:t>施方案》；</w:t>
            </w:r>
          </w:p>
          <w:p>
            <w:pPr>
              <w:pStyle w:val="null3"/>
              <w:spacing w:before="210"/>
              <w:ind w:left="495"/>
              <w:jc w:val="left"/>
            </w:pPr>
            <w:r>
              <w:rPr>
                <w:rFonts w:ascii="仿宋_GB2312" w:hAnsi="仿宋_GB2312" w:cs="仿宋_GB2312" w:eastAsia="仿宋_GB2312"/>
                <w:sz w:val="24"/>
                <w:color w:val="000000"/>
              </w:rPr>
              <w:t>3、《数字测绘成果质量检查与验收》</w:t>
            </w:r>
            <w:r>
              <w:rPr>
                <w:rFonts w:ascii="仿宋_GB2312" w:hAnsi="仿宋_GB2312" w:cs="仿宋_GB2312" w:eastAsia="仿宋_GB2312"/>
                <w:sz w:val="24"/>
                <w:color w:val="000000"/>
              </w:rPr>
              <w:t>GB</w:t>
            </w:r>
            <w:r>
              <w:rPr>
                <w:rFonts w:ascii="仿宋_GB2312" w:hAnsi="仿宋_GB2312" w:cs="仿宋_GB2312" w:eastAsia="仿宋_GB2312"/>
                <w:sz w:val="24"/>
                <w:color w:val="000000"/>
              </w:rPr>
              <w:t>/T 23456-2023；</w:t>
            </w:r>
          </w:p>
          <w:p>
            <w:pPr>
              <w:pStyle w:val="null3"/>
              <w:spacing w:before="210"/>
              <w:jc w:val="left"/>
            </w:pPr>
            <w:r>
              <w:rPr>
                <w:rFonts w:ascii="仿宋_GB2312" w:hAnsi="仿宋_GB2312" w:cs="仿宋_GB2312" w:eastAsia="仿宋_GB2312"/>
                <w:sz w:val="24"/>
                <w:b/>
                <w:color w:val="000000"/>
              </w:rPr>
              <w:t>六、监测成果</w:t>
            </w:r>
          </w:p>
          <w:p>
            <w:pPr>
              <w:pStyle w:val="null3"/>
              <w:spacing w:before="210"/>
              <w:ind w:right="60" w:firstLine="504"/>
              <w:jc w:val="left"/>
            </w:pPr>
            <w:r>
              <w:rPr>
                <w:rFonts w:ascii="仿宋_GB2312" w:hAnsi="仿宋_GB2312" w:cs="仿宋_GB2312" w:eastAsia="仿宋_GB2312"/>
                <w:sz w:val="24"/>
                <w:color w:val="000000"/>
              </w:rPr>
              <w:t>1、监测数据集:按照统一要求，通过整合、采集、细化与更新形成的空间数</w:t>
            </w:r>
            <w:r>
              <w:rPr>
                <w:rFonts w:ascii="仿宋_GB2312" w:hAnsi="仿宋_GB2312" w:cs="仿宋_GB2312" w:eastAsia="仿宋_GB2312"/>
                <w:sz w:val="24"/>
                <w:color w:val="000000"/>
              </w:rPr>
              <w:t>据成</w:t>
            </w:r>
            <w:r>
              <w:rPr>
                <w:rFonts w:ascii="仿宋_GB2312" w:hAnsi="仿宋_GB2312" w:cs="仿宋_GB2312" w:eastAsia="仿宋_GB2312"/>
                <w:sz w:val="24"/>
                <w:color w:val="000000"/>
              </w:rPr>
              <w:t>果。</w:t>
            </w:r>
          </w:p>
          <w:p>
            <w:pPr>
              <w:pStyle w:val="null3"/>
              <w:spacing w:before="210"/>
              <w:ind w:left="495"/>
              <w:jc w:val="left"/>
            </w:pPr>
            <w:r>
              <w:rPr>
                <w:rFonts w:ascii="仿宋_GB2312" w:hAnsi="仿宋_GB2312" w:cs="仿宋_GB2312" w:eastAsia="仿宋_GB2312"/>
                <w:sz w:val="24"/>
                <w:color w:val="000000"/>
              </w:rPr>
              <w:t>2、元数据成果。</w:t>
            </w:r>
          </w:p>
          <w:p>
            <w:pPr>
              <w:pStyle w:val="null3"/>
              <w:spacing w:before="210"/>
              <w:ind w:left="495"/>
              <w:jc w:val="left"/>
            </w:pPr>
            <w:r>
              <w:rPr>
                <w:rFonts w:ascii="仿宋_GB2312" w:hAnsi="仿宋_GB2312" w:cs="仿宋_GB2312" w:eastAsia="仿宋_GB2312"/>
                <w:sz w:val="24"/>
                <w:color w:val="000000"/>
              </w:rPr>
              <w:t>3、外业调查成果:外业调查现场照片，调查台账等。</w:t>
            </w:r>
          </w:p>
          <w:p>
            <w:pPr>
              <w:pStyle w:val="null3"/>
              <w:spacing w:before="210"/>
              <w:ind w:left="495"/>
              <w:jc w:val="left"/>
            </w:pPr>
            <w:r>
              <w:rPr>
                <w:rFonts w:ascii="仿宋_GB2312" w:hAnsi="仿宋_GB2312" w:cs="仿宋_GB2312" w:eastAsia="仿宋_GB2312"/>
                <w:sz w:val="24"/>
                <w:color w:val="000000"/>
              </w:rPr>
              <w:t>4、统计分析数据:基于基础成果进行统计分析汇总形成的数据成果。</w:t>
            </w:r>
          </w:p>
          <w:p>
            <w:pPr>
              <w:pStyle w:val="null3"/>
              <w:spacing w:before="210"/>
              <w:ind w:right="60" w:firstLine="496"/>
              <w:jc w:val="left"/>
            </w:pPr>
            <w:r>
              <w:rPr>
                <w:rFonts w:ascii="仿宋_GB2312" w:hAnsi="仿宋_GB2312" w:cs="仿宋_GB2312" w:eastAsia="仿宋_GB2312"/>
                <w:sz w:val="24"/>
                <w:color w:val="000000"/>
              </w:rPr>
              <w:t>5、文字成果:包括工作报告、技术报告、技术总结、成果汇交清单、相关专题资</w:t>
            </w:r>
            <w:r>
              <w:rPr>
                <w:rFonts w:ascii="仿宋_GB2312" w:hAnsi="仿宋_GB2312" w:cs="仿宋_GB2312" w:eastAsia="仿宋_GB2312"/>
                <w:sz w:val="24"/>
                <w:color w:val="000000"/>
              </w:rPr>
              <w:t>料等。</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配备服务相关的设施设备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60日历天（具体起止日期以合同签订时间为准）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第一期在成果提交至主管部门验收后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第二期在成果经验收、审批及提交所有成果资料后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供应商应授权合法的人员参加磋商，其中法定代表人直接参加的，须附法定代表人身份证，并与营业执照上信息一致；被授权代表参加的，须附法定代表人授权书及被授权人身份证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供应商拟派项目负责人须具备测绘专业中级或以上职称；</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供应商须提供行政主管部门颁发的测绘乙级以上（含乙级）资质证书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社会保障资金证明</w:t>
            </w:r>
          </w:p>
        </w:tc>
        <w:tc>
          <w:tcPr>
            <w:tcW w:type="dxa" w:w="3322"/>
          </w:tcPr>
          <w:p>
            <w:pPr>
              <w:pStyle w:val="null3"/>
            </w:pPr>
            <w:r>
              <w:rPr>
                <w:rFonts w:ascii="仿宋_GB2312" w:hAnsi="仿宋_GB2312" w:cs="仿宋_GB2312" w:eastAsia="仿宋_GB2312"/>
              </w:rPr>
              <w:t>提供 2025 年1月 1 日以来已缴存的至少三个月的社会保障资金缴存单据或社保机构开具的社会保险参保缴费情况证明。依法不需要缴纳社会保障资金的供应商应提供相关文件证明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依法缴纳税收证明</w:t>
            </w:r>
          </w:p>
        </w:tc>
        <w:tc>
          <w:tcPr>
            <w:tcW w:type="dxa" w:w="3322"/>
          </w:tcPr>
          <w:p>
            <w:pPr>
              <w:pStyle w:val="null3"/>
            </w:pPr>
            <w:r>
              <w:rPr>
                <w:rFonts w:ascii="仿宋_GB2312" w:hAnsi="仿宋_GB2312" w:cs="仿宋_GB2312" w:eastAsia="仿宋_GB2312"/>
              </w:rPr>
              <w:t>提供 2025年 1 月 1 日以来已缴纳的至少三个月的纳税证明或完税证明，纳税证明或完税证明上应有代收机构或税务机关的公章。依法免税的供应商应提供相关文件证明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健全的财务会计制度</w:t>
            </w:r>
          </w:p>
        </w:tc>
        <w:tc>
          <w:tcPr>
            <w:tcW w:type="dxa" w:w="3322"/>
          </w:tcPr>
          <w:p>
            <w:pPr>
              <w:pStyle w:val="null3"/>
            </w:pPr>
            <w:r>
              <w:rPr>
                <w:rFonts w:ascii="仿宋_GB2312" w:hAnsi="仿宋_GB2312" w:cs="仿宋_GB2312" w:eastAsia="仿宋_GB2312"/>
              </w:rPr>
              <w:t>须提供2023年至今任意一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供应商未被列入“信用中国”网站(www.creditchina.gov.cn)“记录列入失信被执行人和重大税收违法失信主体截图；不处于中国政府采购网(www.ccgp. gov.cn)“政府采购严重违法失信行为信息记录 ”中的禁止参加政府采购活动期间截图</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提供具有履行本合同所必需的设备和专业技术能力的说明（提供书面承诺）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供应商单位负责人为同一人或者存在直接控股、管理关系的，不得参加同一合同项下的政府采购活动（提供书面承诺）</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磋商响应文件上法定代表人或其委托代理人的签字按规定要求齐全，并加盖单位公章</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分项报价表.docx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分项报价表.docx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满足磋商文件提出的技术和商务要求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满足磋商文件要求达到国家现行验收规范的合格要求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技术方案全面科学可行、思路清晰、方法合理、 可操作性强，完全响应采购需求的得 20-13 分；技术方案全面、思路较为清晰、方法基本合理、 可操作性较强，基本响应采购需求的得 13-6 分；技术方案基全面、思路基本清晰、方法基 本合理、可操作性基本满足要求，较能响应采购需求的得 6-1 分；没有不得分。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根据投标人编制的项目进度方案（包含实施计划、人员任务分工、进度安排等）安排具体详细、分工明确、合理可行性强的得 9 分；每有一项缺项或不合理的在 9 分的基础上扣 3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项目组织方案</w:t>
            </w:r>
          </w:p>
        </w:tc>
        <w:tc>
          <w:tcPr>
            <w:tcW w:type="dxa" w:w="2492"/>
          </w:tcPr>
          <w:p>
            <w:pPr>
              <w:pStyle w:val="null3"/>
            </w:pPr>
            <w:r>
              <w:rPr>
                <w:rFonts w:ascii="仿宋_GB2312" w:hAnsi="仿宋_GB2312" w:cs="仿宋_GB2312" w:eastAsia="仿宋_GB2312"/>
              </w:rPr>
              <w:t>项目实施组织机构具体明确，人员安排合理、技术能力强、职责分工明确，进度计划完全符合项目实际要求的得 10-7 分；项目实施组织机构明确，人员安排较合理、技术能力较强、职责分工较为明确，进度计划完全符合项目实际要求的得 7-3 分；项目实施组织机构基本明确，人员安排基本合理、技术能力一般、职责分工基本明确，进度计划完全符合项目实际要求的得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投标人针对本项目有严格的保密措施和应急预案，预案详细完整、科学合理、重点突出、可实施性强的得 10-7 分；保密措施和预案较完善、较科学合理、重点突出、可实施性较好的得 7-3 分；保密措施和预案基本完善、合理的得 3-1 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质量及安全保障措施</w:t>
            </w:r>
          </w:p>
        </w:tc>
        <w:tc>
          <w:tcPr>
            <w:tcW w:type="dxa" w:w="2492"/>
          </w:tcPr>
          <w:p>
            <w:pPr>
              <w:pStyle w:val="null3"/>
            </w:pPr>
            <w:r>
              <w:rPr>
                <w:rFonts w:ascii="仿宋_GB2312" w:hAnsi="仿宋_GB2312" w:cs="仿宋_GB2312" w:eastAsia="仿宋_GB2312"/>
              </w:rPr>
              <w:t>根据投标人编制的质量及安全保障措施方案（包含服务质量保障措施、安全管理制度、应急突发事件预案）全面科学、 目标明确、措施完善且可行性强的得 9 分，每有一项缺项或不合理的在 9 分的基础上扣 3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拟派项目负责人具有测绘专业高级工程师证的得 3 分 ;具有测绘专业中级工程师证的得 1 分，其他情况不得分。 (以提供的职称证书、社会养老保险证明为依据，未提供不得分)。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其他组成人员</w:t>
            </w:r>
          </w:p>
        </w:tc>
        <w:tc>
          <w:tcPr>
            <w:tcW w:type="dxa" w:w="2492"/>
          </w:tcPr>
          <w:p>
            <w:pPr>
              <w:pStyle w:val="null3"/>
            </w:pPr>
            <w:r>
              <w:rPr>
                <w:rFonts w:ascii="仿宋_GB2312" w:hAnsi="仿宋_GB2312" w:cs="仿宋_GB2312" w:eastAsia="仿宋_GB2312"/>
              </w:rPr>
              <w:t>拟投入本项目的其他技术人员中（除项目负责人外），每有 1 人具有测绘专业中级工程师及以上职称的技术人员得 1 分，满分 5 分。 (以提供的职称证为依据，未提供不得分)。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投标人针对本项目应有详细售后服务方案、完整的售后服务体系，内容应包括但不限于：服务方式、响应及时性、维护体系、售后服务应急措施等。售后服务方案内容完善、合理可行的得 8-5 分；售后服务方案内容基本完整、基本合理可行的得 5-3 分；方案内容不完整、不合理得 3-1，未提供的不得分。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提供近3年来(2022年 11月至今)承担过类似项目业绩，每项得 2分，没有不得分，最高得 6 分(须提供中标通知书或合同复印件加盖公章)。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类似项目一览表.docx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价格分统一采用低价优先法计算，即满足磋商文件要求且价格最低的磋商报价为评审基准价，其价格分为满分。其他供应商的价格分统一按照下列公式计算： 磋商报价得分=(磋商基准价／磋商报价)×价格权值×100（注：计算分数时四舍五入取小数点后两位）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