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AEA45">
      <w:pPr>
        <w:rPr>
          <w:rFonts w:ascii="Times New Roman" w:hAnsi="Times New Roman" w:eastAsia="仿宋_GB2312"/>
          <w:bCs/>
          <w:color w:val="000000"/>
          <w:sz w:val="32"/>
          <w:szCs w:val="32"/>
        </w:rPr>
      </w:pPr>
    </w:p>
    <w:p w14:paraId="7478AA42">
      <w:pPr>
        <w:rPr>
          <w:rFonts w:hint="eastAsia" w:ascii="宋体" w:hAnsi="宋体" w:eastAsia="宋体" w:cs="宋体"/>
          <w:bCs/>
          <w:color w:val="auto"/>
          <w:sz w:val="36"/>
          <w:szCs w:val="36"/>
        </w:rPr>
      </w:pPr>
      <w:bookmarkStart w:id="0" w:name="_Toc13062"/>
      <w:bookmarkStart w:id="1" w:name="_Toc21108"/>
      <w:bookmarkStart w:id="2" w:name="_Toc14944"/>
      <w:bookmarkStart w:id="3" w:name="_Toc7211"/>
      <w:r>
        <w:rPr>
          <w:rFonts w:hint="eastAsia" w:ascii="宋体" w:hAnsi="宋体" w:eastAsia="宋体" w:cs="宋体"/>
          <w:bCs/>
          <w:color w:val="auto"/>
          <w:sz w:val="36"/>
          <w:szCs w:val="36"/>
        </w:rPr>
        <w:t>（GF—201</w:t>
      </w:r>
      <w:r>
        <w:rPr>
          <w:rFonts w:hint="eastAsia" w:ascii="宋体" w:hAnsi="宋体" w:eastAsia="宋体" w:cs="宋体"/>
          <w:bCs/>
          <w:color w:val="auto"/>
          <w:sz w:val="36"/>
          <w:szCs w:val="36"/>
          <w:lang w:val="en-US" w:eastAsia="zh-CN"/>
        </w:rPr>
        <w:t>7</w:t>
      </w:r>
      <w:r>
        <w:rPr>
          <w:rFonts w:hint="eastAsia" w:ascii="宋体" w:hAnsi="宋体" w:eastAsia="宋体" w:cs="宋体"/>
          <w:bCs/>
          <w:color w:val="auto"/>
          <w:sz w:val="36"/>
          <w:szCs w:val="36"/>
        </w:rPr>
        <w:t>—</w:t>
      </w:r>
      <w:r>
        <w:rPr>
          <w:rFonts w:hint="eastAsia" w:ascii="宋体" w:hAnsi="宋体" w:eastAsia="宋体" w:cs="宋体"/>
          <w:bCs/>
          <w:color w:val="auto"/>
          <w:sz w:val="36"/>
          <w:szCs w:val="36"/>
          <w:lang w:val="en-US" w:eastAsia="zh-CN"/>
        </w:rPr>
        <w:t>0201</w:t>
      </w:r>
      <w:r>
        <w:rPr>
          <w:rFonts w:hint="eastAsia" w:ascii="宋体" w:hAnsi="宋体" w:eastAsia="宋体" w:cs="宋体"/>
          <w:bCs/>
          <w:color w:val="auto"/>
          <w:sz w:val="36"/>
          <w:szCs w:val="36"/>
        </w:rPr>
        <w:t>）</w:t>
      </w:r>
    </w:p>
    <w:p w14:paraId="015097FE">
      <w:pPr>
        <w:jc w:val="center"/>
        <w:outlineLvl w:val="9"/>
        <w:rPr>
          <w:rFonts w:ascii="Times New Roman" w:hAnsi="Times New Roman" w:eastAsia="华文中宋"/>
          <w:b/>
          <w:color w:val="auto"/>
          <w:sz w:val="52"/>
          <w:szCs w:val="52"/>
        </w:rPr>
      </w:pPr>
    </w:p>
    <w:p w14:paraId="46439722">
      <w:pPr>
        <w:jc w:val="center"/>
        <w:outlineLvl w:val="9"/>
        <w:rPr>
          <w:rFonts w:ascii="Times New Roman" w:hAnsi="Times New Roman" w:eastAsia="华文中宋"/>
          <w:b/>
          <w:color w:val="auto"/>
          <w:sz w:val="52"/>
          <w:szCs w:val="52"/>
        </w:rPr>
      </w:pPr>
    </w:p>
    <w:p w14:paraId="4E4C7132">
      <w:pPr>
        <w:jc w:val="center"/>
        <w:outlineLvl w:val="9"/>
        <w:rPr>
          <w:rFonts w:ascii="Times New Roman" w:hAnsi="Times New Roman" w:eastAsia="华文中宋"/>
          <w:b/>
          <w:color w:val="auto"/>
          <w:sz w:val="52"/>
          <w:szCs w:val="52"/>
        </w:rPr>
      </w:pPr>
    </w:p>
    <w:p w14:paraId="7B5CFF83">
      <w:pPr>
        <w:jc w:val="center"/>
        <w:outlineLvl w:val="9"/>
        <w:rPr>
          <w:rFonts w:ascii="Times New Roman" w:hAnsi="Times New Roman" w:eastAsia="华文中宋"/>
          <w:b/>
          <w:color w:val="auto"/>
          <w:sz w:val="52"/>
          <w:szCs w:val="52"/>
        </w:rPr>
      </w:pPr>
    </w:p>
    <w:p w14:paraId="4AD32CEC">
      <w:pPr>
        <w:jc w:val="center"/>
        <w:outlineLvl w:val="9"/>
        <w:rPr>
          <w:rFonts w:hint="eastAsia" w:ascii="宋体" w:hAnsi="宋体" w:eastAsia="宋体" w:cs="宋体"/>
          <w:b/>
          <w:color w:val="auto"/>
          <w:sz w:val="48"/>
          <w:szCs w:val="48"/>
          <w:highlight w:val="none"/>
          <w:lang w:eastAsia="zh-CN"/>
        </w:rPr>
      </w:pPr>
      <w:r>
        <w:rPr>
          <w:rFonts w:hint="eastAsia" w:ascii="宋体" w:hAnsi="宋体" w:eastAsia="宋体" w:cs="宋体"/>
          <w:b/>
          <w:color w:val="auto"/>
          <w:sz w:val="48"/>
          <w:szCs w:val="48"/>
          <w:highlight w:val="none"/>
        </w:rPr>
        <w:t>建设工程施工合同</w:t>
      </w:r>
    </w:p>
    <w:p w14:paraId="6EF6F906">
      <w:pPr>
        <w:pStyle w:val="16"/>
        <w:rPr>
          <w:rFonts w:hint="eastAsia"/>
          <w:color w:val="auto"/>
          <w:lang w:eastAsia="zh-CN"/>
        </w:rPr>
      </w:pPr>
    </w:p>
    <w:p w14:paraId="6ECC733B">
      <w:pPr>
        <w:jc w:val="center"/>
        <w:outlineLvl w:val="9"/>
        <w:rPr>
          <w:rFonts w:hint="eastAsia" w:ascii="宋体" w:hAnsi="宋体"/>
          <w:b/>
          <w:bCs/>
          <w:sz w:val="52"/>
          <w:szCs w:val="52"/>
        </w:rPr>
      </w:pPr>
      <w:r>
        <w:rPr>
          <w:rFonts w:hint="eastAsia" w:ascii="宋体" w:hAnsi="宋体"/>
          <w:b/>
          <w:bCs/>
          <w:sz w:val="36"/>
          <w:szCs w:val="36"/>
        </w:rPr>
        <w:t>（示范文本）</w:t>
      </w:r>
    </w:p>
    <w:p w14:paraId="0EFF52A7">
      <w:pPr>
        <w:jc w:val="center"/>
        <w:outlineLvl w:val="9"/>
        <w:rPr>
          <w:rFonts w:ascii="Times New Roman" w:hAnsi="Times New Roman" w:eastAsia="华文中宋"/>
          <w:b/>
          <w:color w:val="auto"/>
          <w:sz w:val="52"/>
          <w:szCs w:val="52"/>
        </w:rPr>
      </w:pPr>
    </w:p>
    <w:p w14:paraId="6FEB51F1">
      <w:pPr>
        <w:jc w:val="center"/>
        <w:outlineLvl w:val="9"/>
        <w:rPr>
          <w:rFonts w:ascii="Times New Roman" w:hAnsi="Times New Roman" w:eastAsia="黑体"/>
          <w:b/>
          <w:color w:val="auto"/>
          <w:sz w:val="72"/>
          <w:szCs w:val="72"/>
        </w:rPr>
      </w:pPr>
    </w:p>
    <w:p w14:paraId="4E94EBD6">
      <w:pPr>
        <w:jc w:val="center"/>
        <w:outlineLvl w:val="9"/>
        <w:rPr>
          <w:rFonts w:ascii="Times New Roman" w:hAnsi="Times New Roman" w:eastAsia="楷体_GB2312"/>
          <w:b/>
          <w:color w:val="auto"/>
          <w:sz w:val="72"/>
          <w:szCs w:val="72"/>
        </w:rPr>
      </w:pPr>
    </w:p>
    <w:p w14:paraId="7F46AD16">
      <w:pPr>
        <w:jc w:val="center"/>
        <w:outlineLvl w:val="9"/>
        <w:rPr>
          <w:rFonts w:ascii="Times New Roman" w:hAnsi="Times New Roman" w:eastAsia="黑体"/>
          <w:b/>
          <w:color w:val="auto"/>
          <w:sz w:val="52"/>
          <w:szCs w:val="52"/>
        </w:rPr>
      </w:pPr>
    </w:p>
    <w:p w14:paraId="313DE299">
      <w:pPr>
        <w:outlineLvl w:val="9"/>
        <w:rPr>
          <w:rFonts w:ascii="Times New Roman" w:hAnsi="Times New Roman"/>
          <w:b/>
          <w:color w:val="auto"/>
          <w:sz w:val="28"/>
          <w:szCs w:val="28"/>
        </w:rPr>
      </w:pPr>
    </w:p>
    <w:p w14:paraId="5D6D964B">
      <w:pPr>
        <w:pStyle w:val="16"/>
        <w:rPr>
          <w:color w:val="auto"/>
        </w:rPr>
      </w:pPr>
    </w:p>
    <w:p w14:paraId="13D0C2D3">
      <w:pPr>
        <w:outlineLvl w:val="9"/>
        <w:rPr>
          <w:rFonts w:ascii="Times New Roman" w:hAnsi="Times New Roman"/>
          <w:b/>
          <w:color w:val="auto"/>
          <w:sz w:val="28"/>
          <w:szCs w:val="28"/>
        </w:rPr>
      </w:pPr>
    </w:p>
    <w:p w14:paraId="234B0CEF">
      <w:pPr>
        <w:outlineLvl w:val="9"/>
        <w:rPr>
          <w:rFonts w:ascii="Times New Roman" w:hAnsi="Times New Roman"/>
          <w:b/>
          <w:color w:val="auto"/>
          <w:sz w:val="28"/>
          <w:szCs w:val="28"/>
        </w:rPr>
      </w:pPr>
    </w:p>
    <w:p w14:paraId="6DCDA23E">
      <w:pPr>
        <w:outlineLvl w:val="9"/>
        <w:rPr>
          <w:rFonts w:ascii="Times New Roman" w:hAnsi="Times New Roman"/>
          <w:b/>
          <w:color w:val="auto"/>
          <w:sz w:val="28"/>
          <w:szCs w:val="28"/>
        </w:rPr>
      </w:pPr>
    </w:p>
    <w:p w14:paraId="4833CC9A">
      <w:pPr>
        <w:outlineLvl w:val="9"/>
        <w:rPr>
          <w:rFonts w:ascii="Times New Roman" w:hAnsi="Times New Roman"/>
          <w:b/>
          <w:color w:val="auto"/>
          <w:sz w:val="28"/>
          <w:szCs w:val="28"/>
        </w:rPr>
      </w:pPr>
    </w:p>
    <w:p w14:paraId="4EB1D1BF">
      <w:pPr>
        <w:ind w:right="2719" w:rightChars="1295" w:firstLine="2738" w:firstLineChars="1304"/>
        <w:jc w:val="distribute"/>
        <w:outlineLvl w:val="9"/>
        <w:rPr>
          <w:rFonts w:ascii="宋体" w:hAnsi="宋体"/>
          <w:b/>
          <w:color w:val="auto"/>
          <w:sz w:val="32"/>
          <w:szCs w:val="28"/>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4" name="文本框 1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8E47626">
                            <w:pPr>
                              <w:rPr>
                                <w:rFonts w:ascii="宋体" w:hAnsi="宋体"/>
                                <w:b/>
                                <w:bCs/>
                                <w:sz w:val="32"/>
                              </w:rPr>
                            </w:pPr>
                            <w:r>
                              <w:rPr>
                                <w:rFonts w:hint="eastAsia" w:ascii="宋体" w:hAnsi="宋体"/>
                                <w:b/>
                                <w:bCs/>
                                <w:sz w:val="32"/>
                              </w:rPr>
                              <w:t>制定</w:t>
                            </w:r>
                          </w:p>
                        </w:txbxContent>
                      </wps:txbx>
                      <wps:bodyPr vert="horz" wrap="square" anchor="t" anchorCtr="0"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LhNGYMoAgAATwQAAA4AAAAAAAAAAQAgAAAAJwEAAGRycy9lMm9Eb2MueG1sUEsFBgAA&#10;AAAGAAYAWQEAAMEFAAAAAA==&#10;">
                <v:fill on="f" focussize="0,0"/>
                <v:stroke color="#FFFFFF" joinstyle="miter"/>
                <v:imagedata o:title=""/>
                <o:lock v:ext="edit" aspectratio="f"/>
                <v:textbox>
                  <w:txbxContent>
                    <w:p w14:paraId="78E47626">
                      <w:pPr>
                        <w:rPr>
                          <w:rFonts w:ascii="宋体" w:hAnsi="宋体"/>
                          <w:b/>
                          <w:bCs/>
                          <w:sz w:val="32"/>
                        </w:rPr>
                      </w:pPr>
                      <w:r>
                        <w:rPr>
                          <w:rFonts w:hint="eastAsia" w:ascii="宋体" w:hAnsi="宋体"/>
                          <w:b/>
                          <w:bCs/>
                          <w:sz w:val="32"/>
                        </w:rPr>
                        <w:t>制定</w:t>
                      </w:r>
                    </w:p>
                  </w:txbxContent>
                </v:textbox>
              </v:shape>
            </w:pict>
          </mc:Fallback>
        </mc:AlternateContent>
      </w:r>
      <w:r>
        <w:rPr>
          <w:rFonts w:ascii="宋体" w:hAnsi="宋体"/>
          <w:b/>
          <w:color w:val="auto"/>
          <w:sz w:val="32"/>
          <w:szCs w:val="28"/>
        </w:rPr>
        <w:t>住房和城乡建设部</w:t>
      </w:r>
    </w:p>
    <w:p w14:paraId="1BCF9150">
      <w:pPr>
        <w:ind w:right="2719" w:rightChars="1295" w:firstLine="2750" w:firstLineChars="856"/>
        <w:jc w:val="distribute"/>
        <w:outlineLvl w:val="9"/>
        <w:rPr>
          <w:rFonts w:hint="eastAsia" w:ascii="宋体" w:hAnsi="宋体"/>
          <w:b/>
          <w:color w:val="auto"/>
          <w:sz w:val="32"/>
          <w:szCs w:val="28"/>
        </w:rPr>
      </w:pPr>
      <w:r>
        <w:rPr>
          <w:rFonts w:ascii="宋体" w:hAnsi="宋体"/>
          <w:b/>
          <w:color w:val="auto"/>
          <w:sz w:val="32"/>
          <w:szCs w:val="28"/>
        </w:rPr>
        <w:t>国家工商行政管理总局</w:t>
      </w:r>
    </w:p>
    <w:p w14:paraId="0BC8C7BA">
      <w:pPr>
        <w:outlineLvl w:val="9"/>
        <w:rPr>
          <w:rFonts w:ascii="Times New Roman" w:hAnsi="Times New Roman"/>
          <w:b/>
          <w:color w:val="auto"/>
        </w:rPr>
      </w:pPr>
    </w:p>
    <w:p w14:paraId="5DFD2B67">
      <w:pPr>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color w:val="auto"/>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titlePg/>
          <w:docGrid w:type="lines" w:linePitch="312" w:charSpace="0"/>
        </w:sectPr>
      </w:pPr>
      <w:bookmarkStart w:id="4" w:name="_Toc351203480"/>
      <w:bookmarkStart w:id="5" w:name="_Toc296890982"/>
      <w:bookmarkStart w:id="6" w:name="_Toc296503025"/>
    </w:p>
    <w:bookmarkEnd w:id="4"/>
    <w:bookmarkEnd w:id="5"/>
    <w:bookmarkEnd w:id="6"/>
    <w:p w14:paraId="41AA7A14">
      <w:pPr>
        <w:jc w:val="center"/>
        <w:outlineLvl w:val="9"/>
        <w:rPr>
          <w:rFonts w:hint="eastAsia" w:ascii="宋体" w:hAnsi="宋体" w:eastAsia="宋体" w:cs="宋体"/>
          <w:b/>
          <w:bCs/>
          <w:sz w:val="32"/>
          <w:szCs w:val="32"/>
        </w:rPr>
      </w:pPr>
      <w:r>
        <w:rPr>
          <w:rFonts w:hint="eastAsia" w:ascii="宋体" w:hAnsi="宋体" w:eastAsia="宋体" w:cs="宋体"/>
          <w:b/>
          <w:bCs/>
          <w:sz w:val="32"/>
          <w:szCs w:val="32"/>
        </w:rPr>
        <w:t>第一部分 合同协议书</w:t>
      </w:r>
    </w:p>
    <w:p w14:paraId="16EE9840">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450F7A04">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highlight w:val="none"/>
          <w:u w:val="single"/>
          <w:lang w:val="en-US" w:eastAsia="zh-CN"/>
        </w:rPr>
        <w:t xml:space="preserve">  </w:t>
      </w:r>
      <w:r>
        <w:rPr>
          <w:rFonts w:hint="eastAsia" w:ascii="宋体" w:hAnsi="宋体" w:eastAsia="宋体" w:cs="宋体"/>
          <w:b/>
          <w:color w:val="000000"/>
          <w:sz w:val="24"/>
          <w:szCs w:val="24"/>
          <w:highlight w:val="none"/>
          <w:u w:val="single"/>
          <w:lang w:eastAsia="zh-CN"/>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399AD758">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bookmarkStart w:id="7" w:name="_Toc351203481"/>
    </w:p>
    <w:p w14:paraId="068E571F">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Cs w:val="0"/>
          <w:color w:val="000000"/>
          <w:sz w:val="24"/>
          <w:szCs w:val="24"/>
        </w:rPr>
      </w:pPr>
      <w:r>
        <w:rPr>
          <w:rFonts w:hint="eastAsia" w:ascii="宋体" w:hAnsi="宋体" w:eastAsia="宋体" w:cs="宋体"/>
          <w:b w:val="0"/>
          <w:color w:val="000000"/>
          <w:sz w:val="24"/>
          <w:szCs w:val="24"/>
        </w:rPr>
        <w:t>一、工程概况</w:t>
      </w:r>
      <w:bookmarkEnd w:id="7"/>
    </w:p>
    <w:p w14:paraId="02A974FF">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B6F668">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559641">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Cs/>
          <w:color w:val="000000"/>
          <w:sz w:val="24"/>
          <w:szCs w:val="24"/>
        </w:rPr>
        <w:t>。</w:t>
      </w:r>
    </w:p>
    <w:p w14:paraId="3CC36EA2">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0EE30EA3">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bCs/>
          <w:color w:val="000000"/>
          <w:sz w:val="24"/>
          <w:szCs w:val="24"/>
        </w:rPr>
        <w:t>。</w:t>
      </w:r>
    </w:p>
    <w:p w14:paraId="5425B3DF">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6.工程承包范围：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bookmarkStart w:id="8" w:name="_Toc351203482"/>
    </w:p>
    <w:p w14:paraId="55E94CD6">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二、合同工期</w:t>
      </w:r>
      <w:bookmarkEnd w:id="8"/>
    </w:p>
    <w:p w14:paraId="3E25DF01">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2402C1F1">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w:t>
      </w:r>
    </w:p>
    <w:p w14:paraId="01046C46">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天</w:t>
      </w:r>
      <w:r>
        <w:rPr>
          <w:rFonts w:hint="eastAsia" w:ascii="宋体" w:hAnsi="宋体" w:eastAsia="宋体" w:cs="宋体"/>
          <w:color w:val="000000"/>
          <w:sz w:val="24"/>
          <w:szCs w:val="24"/>
        </w:rPr>
        <w:t>。工期总日历天数与根据前述计划开竣工日期计算的工期天数不一致的，以工期总日历天数为准。</w:t>
      </w:r>
    </w:p>
    <w:p w14:paraId="3FC1D8E4">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 xml:space="preserve">   </w:t>
      </w:r>
      <w:r>
        <w:rPr>
          <w:rFonts w:hint="eastAsia" w:ascii="宋体" w:hAnsi="宋体" w:cs="宋体"/>
          <w:b w:val="0"/>
          <w:bCs w:val="0"/>
          <w:i w:val="0"/>
          <w:iCs w:val="0"/>
          <w:color w:val="auto"/>
          <w:sz w:val="24"/>
        </w:rPr>
        <w:t>实际开工日期以监理单位(或发包人)下达的开工通知为具体开工时间。</w:t>
      </w:r>
    </w:p>
    <w:p w14:paraId="02CC7256">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9" w:name="_Toc351203483"/>
      <w:r>
        <w:rPr>
          <w:rFonts w:hint="eastAsia" w:ascii="宋体" w:hAnsi="宋体" w:eastAsia="宋体" w:cs="宋体"/>
          <w:bCs w:val="0"/>
          <w:color w:val="000000"/>
          <w:sz w:val="24"/>
          <w:szCs w:val="24"/>
          <w:lang w:val="en-US" w:eastAsia="zh-CN"/>
        </w:rPr>
        <w:t xml:space="preserve">   </w:t>
      </w:r>
      <w:r>
        <w:rPr>
          <w:rFonts w:hint="eastAsia" w:ascii="宋体" w:hAnsi="宋体" w:eastAsia="宋体" w:cs="宋体"/>
          <w:b w:val="0"/>
          <w:color w:val="000000"/>
          <w:sz w:val="24"/>
          <w:szCs w:val="24"/>
        </w:rPr>
        <w:t>三、质量标准</w:t>
      </w:r>
      <w:bookmarkEnd w:id="9"/>
    </w:p>
    <w:p w14:paraId="145786C1">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合格</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67A9FCC3">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0" w:name="_Toc351203484"/>
      <w:r>
        <w:rPr>
          <w:rFonts w:hint="eastAsia" w:ascii="宋体" w:hAnsi="宋体" w:eastAsia="宋体" w:cs="宋体"/>
          <w:b w:val="0"/>
          <w:color w:val="000000"/>
          <w:sz w:val="24"/>
          <w:szCs w:val="24"/>
        </w:rPr>
        <w:t>四、签约合同价与合同价格形式</w:t>
      </w:r>
      <w:bookmarkEnd w:id="10"/>
      <w:r>
        <w:rPr>
          <w:rFonts w:hint="eastAsia" w:ascii="宋体" w:hAnsi="宋体" w:eastAsia="宋体" w:cs="宋体"/>
          <w:b w:val="0"/>
          <w:color w:val="000000"/>
          <w:sz w:val="24"/>
          <w:szCs w:val="24"/>
        </w:rPr>
        <w:tab/>
      </w:r>
    </w:p>
    <w:p w14:paraId="601055F2">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22026C82">
      <w:pPr>
        <w:keepNext w:val="0"/>
        <w:keepLines w:val="0"/>
        <w:pageBreakBefore w:val="0"/>
        <w:kinsoku/>
        <w:wordWrap/>
        <w:overflowPunct/>
        <w:topLinePunct w:val="0"/>
        <w:bidi w:val="0"/>
        <w:snapToGrid/>
        <w:spacing w:line="420" w:lineRule="exact"/>
        <w:ind w:firstLine="600" w:firstLineChars="2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2A5F534A">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7A62CD8B">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4CFCFFB0">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66E1A847">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22074A9B">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497CDD7">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7D8F1F71">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52B3149">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4B6CFFE0">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883FEF8">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预留金</w:t>
      </w:r>
      <w:r>
        <w:rPr>
          <w:rFonts w:hint="eastAsia" w:ascii="宋体" w:hAnsi="宋体" w:eastAsia="宋体" w:cs="宋体"/>
          <w:color w:val="000000"/>
          <w:sz w:val="24"/>
          <w:szCs w:val="24"/>
        </w:rPr>
        <w:t>：</w:t>
      </w:r>
    </w:p>
    <w:p w14:paraId="69925812">
      <w:pPr>
        <w:pStyle w:val="16"/>
        <w:keepNext w:val="0"/>
        <w:keepLines w:val="0"/>
        <w:pageBreakBefore w:val="0"/>
        <w:kinsoku/>
        <w:wordWrap/>
        <w:overflowPunct/>
        <w:topLinePunct w:val="0"/>
        <w:bidi w:val="0"/>
        <w:spacing w:line="420" w:lineRule="exact"/>
        <w:ind w:left="0" w:leftChars="0" w:firstLine="1058" w:firstLineChars="441"/>
        <w:textAlignment w:val="auto"/>
        <w:rPr>
          <w:rFonts w:hint="eastAsia"/>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13C6D0A">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kern w:val="1"/>
          <w:sz w:val="24"/>
          <w:szCs w:val="24"/>
          <w:u w:val="single"/>
        </w:rPr>
        <w:t>综合单价</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31996662">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color w:val="000000"/>
          <w:sz w:val="24"/>
          <w:szCs w:val="24"/>
          <w:lang w:val="en-US" w:eastAsia="zh-CN"/>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1" w:name="_Toc351203485"/>
      <w:r>
        <w:rPr>
          <w:rFonts w:hint="eastAsia" w:ascii="宋体" w:hAnsi="宋体" w:eastAsia="宋体" w:cs="宋体"/>
          <w:b w:val="0"/>
          <w:color w:val="000000"/>
          <w:sz w:val="24"/>
          <w:szCs w:val="24"/>
        </w:rPr>
        <w:t>五、</w:t>
      </w:r>
      <w:bookmarkEnd w:id="11"/>
      <w:r>
        <w:rPr>
          <w:rFonts w:hint="eastAsia" w:ascii="宋体" w:hAnsi="宋体" w:eastAsia="宋体" w:cs="宋体"/>
          <w:b w:val="0"/>
          <w:color w:val="000000"/>
          <w:sz w:val="24"/>
          <w:szCs w:val="24"/>
        </w:rPr>
        <w:t>项目经理</w:t>
      </w:r>
      <w:r>
        <w:rPr>
          <w:rFonts w:hint="eastAsia" w:ascii="宋体" w:hAnsi="宋体" w:cs="宋体"/>
          <w:b w:val="0"/>
          <w:color w:val="000000"/>
          <w:sz w:val="24"/>
          <w:szCs w:val="24"/>
          <w:lang w:val="en-US" w:eastAsia="zh-CN"/>
        </w:rPr>
        <w:t xml:space="preserve"> </w:t>
      </w:r>
    </w:p>
    <w:p w14:paraId="7D911D6A">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751D297A">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2" w:name="_Toc351203486"/>
      <w:r>
        <w:rPr>
          <w:rFonts w:hint="eastAsia" w:ascii="宋体" w:hAnsi="宋体" w:eastAsia="宋体" w:cs="宋体"/>
          <w:b w:val="0"/>
          <w:color w:val="000000"/>
          <w:sz w:val="24"/>
          <w:szCs w:val="24"/>
        </w:rPr>
        <w:t>六、合同文件构成</w:t>
      </w:r>
      <w:bookmarkEnd w:id="12"/>
    </w:p>
    <w:p w14:paraId="2C2DAF2E">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68006064">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188F043D">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17BC52A7">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6BB5A6DA">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444104B6">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391AC32C">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181C27D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2F4BB1BC">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44C0011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1650D305">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0E96427D">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3" w:name="_Toc351203487"/>
      <w:r>
        <w:rPr>
          <w:rFonts w:hint="eastAsia" w:ascii="宋体" w:hAnsi="宋体" w:eastAsia="宋体" w:cs="宋体"/>
          <w:b w:val="0"/>
          <w:color w:val="000000"/>
          <w:sz w:val="24"/>
          <w:szCs w:val="24"/>
        </w:rPr>
        <w:t>七、承诺</w:t>
      </w:r>
      <w:bookmarkEnd w:id="13"/>
    </w:p>
    <w:p w14:paraId="6DBECB7A">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2E741D20">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4C575901">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3B6176C3">
      <w:pPr>
        <w:keepNext w:val="0"/>
        <w:keepLines w:val="0"/>
        <w:pageBreakBefore w:val="0"/>
        <w:widowControl/>
        <w:kinsoku/>
        <w:wordWrap/>
        <w:overflowPunct/>
        <w:topLinePunct w:val="0"/>
        <w:autoSpaceDE/>
        <w:autoSpaceDN/>
        <w:bidi w:val="0"/>
        <w:adjustRightInd/>
        <w:snapToGrid/>
        <w:spacing w:line="420" w:lineRule="exact"/>
        <w:ind w:left="0" w:leftChars="0" w:right="0" w:rightChars="0"/>
        <w:jc w:val="left"/>
        <w:textAlignment w:val="auto"/>
        <w:outlineLvl w:val="9"/>
        <w:rPr>
          <w:rFonts w:hint="eastAsia" w:ascii="宋体" w:hAnsi="宋体" w:eastAsia="宋体" w:cs="宋体"/>
          <w:bCs/>
          <w:color w:val="000000"/>
          <w:sz w:val="24"/>
          <w:szCs w:val="24"/>
        </w:rPr>
      </w:pPr>
      <w:bookmarkStart w:id="14" w:name="_Toc351203488"/>
      <w:r>
        <w:rPr>
          <w:rFonts w:hint="eastAsia" w:ascii="宋体" w:hAnsi="宋体" w:eastAsia="宋体" w:cs="宋体"/>
          <w:b/>
          <w:color w:val="000000"/>
          <w:sz w:val="24"/>
          <w:szCs w:val="24"/>
        </w:rPr>
        <w:t xml:space="preserve">   </w:t>
      </w:r>
      <w:r>
        <w:rPr>
          <w:rFonts w:hint="eastAsia" w:ascii="宋体" w:hAnsi="宋体" w:eastAsia="宋体" w:cs="宋体"/>
          <w:b w:val="0"/>
          <w:bCs/>
          <w:color w:val="000000"/>
          <w:sz w:val="24"/>
          <w:szCs w:val="24"/>
        </w:rPr>
        <w:t xml:space="preserve"> 八、词语含义</w:t>
      </w:r>
      <w:bookmarkEnd w:id="14"/>
    </w:p>
    <w:p w14:paraId="07C8D85D">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3D6B0540">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5" w:name="_Toc351203489"/>
      <w:r>
        <w:rPr>
          <w:rFonts w:hint="eastAsia" w:ascii="宋体" w:hAnsi="宋体" w:eastAsia="宋体" w:cs="宋体"/>
          <w:b w:val="0"/>
          <w:color w:val="000000"/>
          <w:sz w:val="24"/>
          <w:szCs w:val="24"/>
        </w:rPr>
        <w:t>九、签订时间</w:t>
      </w:r>
      <w:bookmarkEnd w:id="15"/>
    </w:p>
    <w:p w14:paraId="5AE368A6">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5A153109">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6" w:name="_Toc351203490"/>
      <w:r>
        <w:rPr>
          <w:rFonts w:hint="eastAsia" w:ascii="宋体" w:hAnsi="宋体" w:eastAsia="宋体" w:cs="宋体"/>
          <w:b w:val="0"/>
          <w:color w:val="000000"/>
          <w:sz w:val="24"/>
          <w:szCs w:val="24"/>
        </w:rPr>
        <w:t>十、签订地点</w:t>
      </w:r>
      <w:bookmarkEnd w:id="16"/>
    </w:p>
    <w:p w14:paraId="323F1FD0">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39AD0A41">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7" w:name="_Toc351203491"/>
      <w:r>
        <w:rPr>
          <w:rFonts w:hint="eastAsia" w:ascii="宋体" w:hAnsi="宋体" w:eastAsia="宋体" w:cs="宋体"/>
          <w:b w:val="0"/>
          <w:color w:val="000000"/>
          <w:sz w:val="24"/>
          <w:szCs w:val="24"/>
        </w:rPr>
        <w:t>十一、补充协议</w:t>
      </w:r>
      <w:bookmarkEnd w:id="17"/>
    </w:p>
    <w:p w14:paraId="03F92C5C">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04759393">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8" w:name="_Toc351203492"/>
      <w:r>
        <w:rPr>
          <w:rFonts w:hint="eastAsia" w:ascii="宋体" w:hAnsi="宋体" w:eastAsia="宋体" w:cs="宋体"/>
          <w:b w:val="0"/>
          <w:color w:val="000000"/>
          <w:sz w:val="24"/>
          <w:szCs w:val="24"/>
        </w:rPr>
        <w:t>十二、合同生效</w:t>
      </w:r>
      <w:bookmarkEnd w:id="18"/>
    </w:p>
    <w:p w14:paraId="575AE391">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77CBC2EF">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9" w:name="_Toc351203493"/>
      <w:r>
        <w:rPr>
          <w:rFonts w:hint="eastAsia" w:ascii="宋体" w:hAnsi="宋体" w:eastAsia="宋体" w:cs="宋体"/>
          <w:b w:val="0"/>
          <w:color w:val="000000"/>
          <w:sz w:val="24"/>
          <w:szCs w:val="24"/>
        </w:rPr>
        <w:t>十三、合同份数</w:t>
      </w:r>
      <w:bookmarkEnd w:id="19"/>
    </w:p>
    <w:p w14:paraId="73CAE3A7">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lang w:val="en-US" w:eastAsia="zh-CN"/>
        </w:rPr>
        <w:t>陆</w:t>
      </w:r>
      <w:r>
        <w:rPr>
          <w:rFonts w:hint="eastAsia" w:ascii="宋体" w:hAnsi="宋体" w:eastAsia="宋体" w:cs="宋体"/>
          <w:bCs/>
          <w:color w:val="000000"/>
          <w:sz w:val="24"/>
          <w:szCs w:val="24"/>
        </w:rPr>
        <w:t>份，均具有同等法律效力，</w:t>
      </w:r>
      <w:r>
        <w:rPr>
          <w:rFonts w:hint="eastAsia" w:ascii="宋体" w:hAnsi="宋体" w:cs="宋体"/>
          <w:kern w:val="1"/>
          <w:sz w:val="24"/>
          <w:szCs w:val="24"/>
        </w:rPr>
        <w:t>双方各持正本一份、副本贰份</w:t>
      </w:r>
      <w:r>
        <w:rPr>
          <w:rFonts w:hint="eastAsia" w:ascii="宋体" w:hAnsi="宋体" w:eastAsia="宋体" w:cs="宋体"/>
          <w:bCs/>
          <w:color w:val="000000"/>
          <w:sz w:val="24"/>
          <w:szCs w:val="24"/>
        </w:rPr>
        <w:t>。</w:t>
      </w:r>
    </w:p>
    <w:p w14:paraId="6300A56D">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p>
    <w:p w14:paraId="5359DCDD">
      <w:pPr>
        <w:keepNext w:val="0"/>
        <w:keepLines w:val="0"/>
        <w:pageBreakBefore w:val="0"/>
        <w:kinsoku/>
        <w:wordWrap/>
        <w:overflowPunct/>
        <w:topLinePunct w:val="0"/>
        <w:bidi w:val="0"/>
        <w:snapToGrid/>
        <w:spacing w:line="44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170DA6A3">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224A1C4F">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cs="宋体"/>
          <w:color w:val="000000"/>
          <w:sz w:val="24"/>
          <w:szCs w:val="24"/>
          <w:u w:val="non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57729A7">
      <w:pPr>
        <w:keepNext w:val="0"/>
        <w:keepLines w:val="0"/>
        <w:pageBreakBefore w:val="0"/>
        <w:tabs>
          <w:tab w:val="left" w:pos="4410"/>
        </w:tabs>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A3C29FF">
      <w:pPr>
        <w:keepNext w:val="0"/>
        <w:keepLines w:val="0"/>
        <w:pageBreakBefore w:val="0"/>
        <w:kinsoku/>
        <w:wordWrap/>
        <w:overflowPunct/>
        <w:topLinePunct w:val="0"/>
        <w:bidi w:val="0"/>
        <w:snapToGrid/>
        <w:spacing w:line="440" w:lineRule="exact"/>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1AE7E1E5">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BABF33E">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4D916754">
      <w:pPr>
        <w:keepNext w:val="0"/>
        <w:keepLines w:val="0"/>
        <w:pageBreakBefore w:val="0"/>
        <w:kinsoku/>
        <w:wordWrap/>
        <w:overflowPunct/>
        <w:topLinePunct w:val="0"/>
        <w:bidi w:val="0"/>
        <w:snapToGrid/>
        <w:spacing w:line="44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p>
    <w:p w14:paraId="323FF78A">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0E44A72">
      <w:pPr>
        <w:jc w:val="center"/>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br w:type="page"/>
      </w:r>
      <w:bookmarkStart w:id="20" w:name="_Toc351203494"/>
      <w:r>
        <w:rPr>
          <w:rFonts w:hint="eastAsia" w:ascii="宋体" w:hAnsi="宋体" w:eastAsia="宋体" w:cs="宋体"/>
          <w:b/>
          <w:bCs/>
          <w:sz w:val="32"/>
          <w:szCs w:val="32"/>
        </w:rPr>
        <w:t>第二部分 通用合同条款</w:t>
      </w:r>
      <w:bookmarkEnd w:id="20"/>
      <w:bookmarkStart w:id="21" w:name="_Toc337558727"/>
    </w:p>
    <w:p w14:paraId="1C89453E">
      <w:pPr>
        <w:spacing w:line="360" w:lineRule="auto"/>
        <w:jc w:val="center"/>
        <w:rPr>
          <w:rFonts w:hint="eastAsia" w:ascii="宋体" w:hAnsi="宋体" w:cs="宋体"/>
          <w:sz w:val="24"/>
          <w:lang w:val="en-US" w:eastAsia="zh-CN"/>
        </w:rPr>
      </w:pPr>
      <w:r>
        <w:rPr>
          <w:rFonts w:hint="eastAsia" w:ascii="宋体" w:hAnsi="宋体" w:cs="宋体"/>
          <w:b w:val="0"/>
          <w:bCs/>
          <w:sz w:val="28"/>
          <w:szCs w:val="28"/>
          <w:lang w:val="en-US" w:eastAsia="zh-CN"/>
        </w:rPr>
        <w:t>执行</w:t>
      </w:r>
      <w:r>
        <w:rPr>
          <w:rFonts w:hint="eastAsia" w:ascii="宋体" w:hAnsi="宋体" w:cs="宋体"/>
          <w:b w:val="0"/>
          <w:bCs/>
          <w:sz w:val="28"/>
          <w:szCs w:val="28"/>
        </w:rPr>
        <w:t>《建设工程施工合同（示范文本）》（GF-201</w:t>
      </w:r>
      <w:r>
        <w:rPr>
          <w:rFonts w:hint="eastAsia" w:ascii="宋体" w:hAnsi="宋体" w:cs="宋体"/>
          <w:b w:val="0"/>
          <w:bCs/>
          <w:sz w:val="28"/>
          <w:szCs w:val="28"/>
          <w:lang w:val="en-US" w:eastAsia="zh-CN"/>
        </w:rPr>
        <w:t>7</w:t>
      </w:r>
      <w:r>
        <w:rPr>
          <w:rFonts w:hint="eastAsia" w:ascii="宋体" w:hAnsi="宋体" w:cs="宋体"/>
          <w:b w:val="0"/>
          <w:bCs/>
          <w:sz w:val="28"/>
          <w:szCs w:val="28"/>
        </w:rPr>
        <w:t>-0201）版本</w:t>
      </w:r>
    </w:p>
    <w:p w14:paraId="2E636CFD">
      <w:pPr>
        <w:spacing w:line="360" w:lineRule="auto"/>
        <w:ind w:firstLine="480" w:firstLineChars="200"/>
        <w:rPr>
          <w:rFonts w:hint="eastAsia" w:ascii="宋体" w:hAnsi="宋体" w:cs="宋体"/>
          <w:sz w:val="24"/>
          <w:lang w:val="en-US" w:eastAsia="zh-CN"/>
        </w:rPr>
      </w:pPr>
    </w:p>
    <w:p w14:paraId="60298F28">
      <w:pPr>
        <w:outlineLvl w:val="9"/>
        <w:rPr>
          <w:rFonts w:hint="eastAsia" w:ascii="宋体" w:hAnsi="宋体" w:eastAsia="宋体" w:cs="宋体"/>
          <w:sz w:val="24"/>
          <w:szCs w:val="24"/>
          <w:lang w:val="en-US" w:eastAsia="zh-CN"/>
        </w:rPr>
      </w:pPr>
    </w:p>
    <w:p w14:paraId="6DC8F2C3">
      <w:pPr>
        <w:outlineLvl w:val="9"/>
        <w:rPr>
          <w:rFonts w:hint="eastAsia" w:ascii="宋体" w:hAnsi="宋体" w:eastAsia="宋体" w:cs="宋体"/>
          <w:sz w:val="24"/>
          <w:szCs w:val="24"/>
          <w:lang w:val="en-US" w:eastAsia="zh-CN"/>
        </w:rPr>
      </w:pPr>
    </w:p>
    <w:p w14:paraId="3BDDC4AA">
      <w:pPr>
        <w:outlineLvl w:val="9"/>
        <w:rPr>
          <w:rFonts w:hint="eastAsia" w:ascii="宋体" w:hAnsi="宋体" w:eastAsia="宋体" w:cs="宋体"/>
          <w:sz w:val="24"/>
          <w:szCs w:val="24"/>
          <w:lang w:val="en-US" w:eastAsia="zh-CN"/>
        </w:rPr>
      </w:pPr>
    </w:p>
    <w:p w14:paraId="01B11DC2">
      <w:pPr>
        <w:outlineLvl w:val="9"/>
        <w:rPr>
          <w:rFonts w:hint="eastAsia" w:ascii="宋体" w:hAnsi="宋体" w:eastAsia="宋体" w:cs="宋体"/>
          <w:sz w:val="24"/>
          <w:szCs w:val="24"/>
          <w:lang w:val="en-US" w:eastAsia="zh-CN"/>
        </w:rPr>
      </w:pPr>
    </w:p>
    <w:p w14:paraId="46D83773">
      <w:pPr>
        <w:outlineLvl w:val="9"/>
        <w:rPr>
          <w:rFonts w:hint="eastAsia" w:ascii="宋体" w:hAnsi="宋体" w:eastAsia="宋体" w:cs="宋体"/>
          <w:sz w:val="24"/>
          <w:szCs w:val="24"/>
          <w:lang w:val="en-US" w:eastAsia="zh-CN"/>
        </w:rPr>
      </w:pPr>
    </w:p>
    <w:p w14:paraId="0F758109">
      <w:pPr>
        <w:outlineLvl w:val="9"/>
        <w:rPr>
          <w:rFonts w:hint="eastAsia" w:ascii="宋体" w:hAnsi="宋体" w:eastAsia="宋体" w:cs="宋体"/>
          <w:sz w:val="24"/>
          <w:szCs w:val="24"/>
          <w:lang w:val="en-US" w:eastAsia="zh-CN"/>
        </w:rPr>
      </w:pPr>
    </w:p>
    <w:p w14:paraId="5C57E5A0">
      <w:pPr>
        <w:outlineLvl w:val="9"/>
        <w:rPr>
          <w:rFonts w:hint="eastAsia" w:ascii="宋体" w:hAnsi="宋体" w:eastAsia="宋体" w:cs="宋体"/>
          <w:sz w:val="24"/>
          <w:szCs w:val="24"/>
          <w:lang w:val="en-US" w:eastAsia="zh-CN"/>
        </w:rPr>
      </w:pPr>
    </w:p>
    <w:p w14:paraId="05CACCB1">
      <w:pPr>
        <w:outlineLvl w:val="9"/>
        <w:rPr>
          <w:rFonts w:hint="eastAsia" w:ascii="宋体" w:hAnsi="宋体" w:eastAsia="宋体" w:cs="宋体"/>
          <w:sz w:val="24"/>
          <w:szCs w:val="24"/>
          <w:lang w:val="en-US" w:eastAsia="zh-CN"/>
        </w:rPr>
      </w:pPr>
    </w:p>
    <w:p w14:paraId="376453DB">
      <w:pPr>
        <w:outlineLvl w:val="9"/>
        <w:rPr>
          <w:rFonts w:hint="eastAsia" w:ascii="宋体" w:hAnsi="宋体" w:eastAsia="宋体" w:cs="宋体"/>
          <w:sz w:val="24"/>
          <w:szCs w:val="24"/>
          <w:lang w:val="en-US" w:eastAsia="zh-CN"/>
        </w:rPr>
      </w:pPr>
    </w:p>
    <w:p w14:paraId="0B284279">
      <w:pPr>
        <w:outlineLvl w:val="9"/>
        <w:rPr>
          <w:rFonts w:hint="eastAsia" w:ascii="宋体" w:hAnsi="宋体" w:eastAsia="宋体" w:cs="宋体"/>
          <w:sz w:val="24"/>
          <w:szCs w:val="24"/>
          <w:lang w:val="en-US" w:eastAsia="zh-CN"/>
        </w:rPr>
      </w:pPr>
    </w:p>
    <w:p w14:paraId="724D37CF">
      <w:pPr>
        <w:outlineLvl w:val="9"/>
        <w:rPr>
          <w:rFonts w:hint="eastAsia" w:ascii="宋体" w:hAnsi="宋体" w:eastAsia="宋体" w:cs="宋体"/>
          <w:sz w:val="24"/>
          <w:szCs w:val="24"/>
          <w:lang w:val="en-US" w:eastAsia="zh-CN"/>
        </w:rPr>
      </w:pPr>
    </w:p>
    <w:p w14:paraId="1631B1EA">
      <w:pPr>
        <w:outlineLvl w:val="9"/>
        <w:rPr>
          <w:rFonts w:hint="eastAsia" w:ascii="宋体" w:hAnsi="宋体" w:eastAsia="宋体" w:cs="宋体"/>
          <w:sz w:val="24"/>
          <w:szCs w:val="24"/>
          <w:lang w:val="en-US" w:eastAsia="zh-CN"/>
        </w:rPr>
      </w:pPr>
    </w:p>
    <w:p w14:paraId="72F0CE54">
      <w:pPr>
        <w:outlineLvl w:val="9"/>
        <w:rPr>
          <w:rFonts w:hint="eastAsia" w:ascii="宋体" w:hAnsi="宋体" w:eastAsia="宋体" w:cs="宋体"/>
          <w:sz w:val="24"/>
          <w:szCs w:val="24"/>
          <w:lang w:val="en-US" w:eastAsia="zh-CN"/>
        </w:rPr>
      </w:pPr>
    </w:p>
    <w:p w14:paraId="529EE359">
      <w:pPr>
        <w:outlineLvl w:val="9"/>
        <w:rPr>
          <w:rFonts w:hint="eastAsia" w:ascii="宋体" w:hAnsi="宋体" w:eastAsia="宋体" w:cs="宋体"/>
          <w:sz w:val="24"/>
          <w:szCs w:val="24"/>
          <w:lang w:val="en-US" w:eastAsia="zh-CN"/>
        </w:rPr>
      </w:pPr>
    </w:p>
    <w:p w14:paraId="091E1007">
      <w:pPr>
        <w:outlineLvl w:val="9"/>
        <w:rPr>
          <w:rFonts w:hint="eastAsia" w:ascii="宋体" w:hAnsi="宋体" w:eastAsia="宋体" w:cs="宋体"/>
          <w:sz w:val="24"/>
          <w:szCs w:val="24"/>
          <w:lang w:val="en-US" w:eastAsia="zh-CN"/>
        </w:rPr>
      </w:pPr>
    </w:p>
    <w:p w14:paraId="2BA0CC85">
      <w:pPr>
        <w:outlineLvl w:val="9"/>
        <w:rPr>
          <w:rFonts w:hint="eastAsia" w:ascii="宋体" w:hAnsi="宋体" w:eastAsia="宋体" w:cs="宋体"/>
          <w:sz w:val="24"/>
          <w:szCs w:val="24"/>
          <w:lang w:val="en-US" w:eastAsia="zh-CN"/>
        </w:rPr>
      </w:pPr>
    </w:p>
    <w:p w14:paraId="23AFEB45">
      <w:pPr>
        <w:outlineLvl w:val="9"/>
        <w:rPr>
          <w:rFonts w:hint="eastAsia" w:ascii="宋体" w:hAnsi="宋体" w:eastAsia="宋体" w:cs="宋体"/>
          <w:sz w:val="24"/>
          <w:szCs w:val="24"/>
          <w:lang w:val="en-US" w:eastAsia="zh-CN"/>
        </w:rPr>
      </w:pPr>
    </w:p>
    <w:p w14:paraId="36D10555">
      <w:pPr>
        <w:outlineLvl w:val="9"/>
        <w:rPr>
          <w:rFonts w:hint="eastAsia" w:ascii="宋体" w:hAnsi="宋体" w:eastAsia="宋体" w:cs="宋体"/>
          <w:sz w:val="24"/>
          <w:szCs w:val="24"/>
          <w:lang w:val="en-US" w:eastAsia="zh-CN"/>
        </w:rPr>
      </w:pPr>
    </w:p>
    <w:p w14:paraId="7880CD1C">
      <w:pPr>
        <w:outlineLvl w:val="9"/>
        <w:rPr>
          <w:rFonts w:hint="eastAsia" w:ascii="宋体" w:hAnsi="宋体" w:eastAsia="宋体" w:cs="宋体"/>
          <w:sz w:val="24"/>
          <w:szCs w:val="24"/>
          <w:lang w:val="en-US" w:eastAsia="zh-CN"/>
        </w:rPr>
      </w:pPr>
    </w:p>
    <w:p w14:paraId="6A7843BB">
      <w:pPr>
        <w:outlineLvl w:val="9"/>
        <w:rPr>
          <w:rFonts w:hint="eastAsia" w:ascii="宋体" w:hAnsi="宋体" w:eastAsia="宋体" w:cs="宋体"/>
          <w:sz w:val="24"/>
          <w:szCs w:val="24"/>
          <w:lang w:val="en-US" w:eastAsia="zh-CN"/>
        </w:rPr>
      </w:pPr>
    </w:p>
    <w:p w14:paraId="3A24D7EB">
      <w:pPr>
        <w:outlineLvl w:val="9"/>
        <w:rPr>
          <w:rFonts w:hint="eastAsia" w:ascii="宋体" w:hAnsi="宋体" w:eastAsia="宋体" w:cs="宋体"/>
          <w:sz w:val="24"/>
          <w:szCs w:val="24"/>
          <w:lang w:val="en-US" w:eastAsia="zh-CN"/>
        </w:rPr>
      </w:pPr>
    </w:p>
    <w:p w14:paraId="6F0630C8">
      <w:pPr>
        <w:outlineLvl w:val="9"/>
        <w:rPr>
          <w:rFonts w:hint="eastAsia" w:ascii="宋体" w:hAnsi="宋体" w:eastAsia="宋体" w:cs="宋体"/>
          <w:sz w:val="24"/>
          <w:szCs w:val="24"/>
          <w:lang w:val="en-US" w:eastAsia="zh-CN"/>
        </w:rPr>
      </w:pPr>
    </w:p>
    <w:p w14:paraId="6C821BB0">
      <w:pPr>
        <w:outlineLvl w:val="9"/>
        <w:rPr>
          <w:rFonts w:hint="eastAsia" w:ascii="宋体" w:hAnsi="宋体" w:eastAsia="宋体" w:cs="宋体"/>
          <w:sz w:val="24"/>
          <w:szCs w:val="24"/>
          <w:lang w:val="en-US" w:eastAsia="zh-CN"/>
        </w:rPr>
      </w:pPr>
    </w:p>
    <w:p w14:paraId="0BAA459B">
      <w:pPr>
        <w:outlineLvl w:val="9"/>
        <w:rPr>
          <w:rFonts w:hint="eastAsia" w:ascii="宋体" w:hAnsi="宋体" w:eastAsia="宋体" w:cs="宋体"/>
          <w:sz w:val="24"/>
          <w:szCs w:val="24"/>
          <w:lang w:val="en-US" w:eastAsia="zh-CN"/>
        </w:rPr>
      </w:pPr>
    </w:p>
    <w:p w14:paraId="76AD1528">
      <w:pPr>
        <w:outlineLvl w:val="9"/>
        <w:rPr>
          <w:rFonts w:hint="eastAsia" w:ascii="宋体" w:hAnsi="宋体" w:eastAsia="宋体" w:cs="宋体"/>
          <w:sz w:val="24"/>
          <w:szCs w:val="24"/>
          <w:lang w:val="en-US" w:eastAsia="zh-CN"/>
        </w:rPr>
      </w:pPr>
    </w:p>
    <w:p w14:paraId="433E4009">
      <w:pPr>
        <w:outlineLvl w:val="9"/>
        <w:rPr>
          <w:rFonts w:hint="eastAsia" w:ascii="宋体" w:hAnsi="宋体" w:eastAsia="宋体" w:cs="宋体"/>
          <w:sz w:val="24"/>
          <w:szCs w:val="24"/>
          <w:lang w:val="en-US" w:eastAsia="zh-CN"/>
        </w:rPr>
      </w:pPr>
    </w:p>
    <w:p w14:paraId="522335FF">
      <w:pPr>
        <w:outlineLvl w:val="9"/>
        <w:rPr>
          <w:rFonts w:hint="eastAsia" w:ascii="宋体" w:hAnsi="宋体" w:eastAsia="宋体" w:cs="宋体"/>
          <w:sz w:val="24"/>
          <w:szCs w:val="24"/>
          <w:lang w:val="en-US" w:eastAsia="zh-CN"/>
        </w:rPr>
      </w:pPr>
    </w:p>
    <w:p w14:paraId="33E1C58E">
      <w:pPr>
        <w:outlineLvl w:val="9"/>
        <w:rPr>
          <w:rFonts w:hint="eastAsia" w:ascii="宋体" w:hAnsi="宋体" w:eastAsia="宋体" w:cs="宋体"/>
          <w:sz w:val="24"/>
          <w:szCs w:val="24"/>
          <w:lang w:val="en-US" w:eastAsia="zh-CN"/>
        </w:rPr>
      </w:pPr>
    </w:p>
    <w:p w14:paraId="2E6312CA">
      <w:pPr>
        <w:outlineLvl w:val="9"/>
        <w:rPr>
          <w:rFonts w:hint="eastAsia" w:ascii="宋体" w:hAnsi="宋体" w:eastAsia="宋体" w:cs="宋体"/>
          <w:sz w:val="24"/>
          <w:szCs w:val="24"/>
          <w:lang w:val="en-US" w:eastAsia="zh-CN"/>
        </w:rPr>
      </w:pPr>
    </w:p>
    <w:p w14:paraId="6F10EBB0">
      <w:pPr>
        <w:outlineLvl w:val="9"/>
        <w:rPr>
          <w:rFonts w:hint="eastAsia" w:ascii="宋体" w:hAnsi="宋体" w:eastAsia="宋体" w:cs="宋体"/>
          <w:sz w:val="24"/>
          <w:szCs w:val="24"/>
          <w:lang w:val="en-US" w:eastAsia="zh-CN"/>
        </w:rPr>
      </w:pPr>
    </w:p>
    <w:p w14:paraId="64CA9F80">
      <w:pPr>
        <w:outlineLvl w:val="9"/>
        <w:rPr>
          <w:rFonts w:hint="eastAsia" w:ascii="宋体" w:hAnsi="宋体" w:eastAsia="宋体" w:cs="宋体"/>
          <w:sz w:val="24"/>
          <w:szCs w:val="24"/>
          <w:lang w:val="en-US" w:eastAsia="zh-CN"/>
        </w:rPr>
      </w:pPr>
    </w:p>
    <w:p w14:paraId="6D3F9310">
      <w:pPr>
        <w:outlineLvl w:val="9"/>
        <w:rPr>
          <w:rFonts w:hint="eastAsia" w:ascii="宋体" w:hAnsi="宋体" w:eastAsia="宋体" w:cs="宋体"/>
          <w:sz w:val="24"/>
          <w:szCs w:val="24"/>
          <w:lang w:val="en-US" w:eastAsia="zh-CN"/>
        </w:rPr>
      </w:pPr>
    </w:p>
    <w:p w14:paraId="1C9FEA08">
      <w:pPr>
        <w:outlineLvl w:val="9"/>
        <w:rPr>
          <w:rFonts w:hint="eastAsia" w:ascii="宋体" w:hAnsi="宋体" w:eastAsia="宋体" w:cs="宋体"/>
          <w:sz w:val="24"/>
          <w:szCs w:val="24"/>
          <w:lang w:val="en-US" w:eastAsia="zh-CN"/>
        </w:rPr>
      </w:pPr>
    </w:p>
    <w:p w14:paraId="4EAB4DBB">
      <w:pPr>
        <w:outlineLvl w:val="9"/>
        <w:rPr>
          <w:rFonts w:hint="eastAsia" w:ascii="宋体" w:hAnsi="宋体" w:eastAsia="宋体" w:cs="宋体"/>
          <w:sz w:val="24"/>
          <w:szCs w:val="24"/>
          <w:lang w:val="en-US" w:eastAsia="zh-CN"/>
        </w:rPr>
      </w:pPr>
    </w:p>
    <w:p w14:paraId="737C1B37">
      <w:pPr>
        <w:outlineLvl w:val="9"/>
        <w:rPr>
          <w:rFonts w:hint="eastAsia" w:ascii="宋体" w:hAnsi="宋体" w:eastAsia="宋体" w:cs="宋体"/>
          <w:sz w:val="24"/>
          <w:szCs w:val="24"/>
          <w:lang w:val="en-US" w:eastAsia="zh-CN"/>
        </w:rPr>
      </w:pPr>
    </w:p>
    <w:p w14:paraId="65E947BA">
      <w:pPr>
        <w:outlineLvl w:val="9"/>
        <w:rPr>
          <w:rFonts w:hint="eastAsia" w:ascii="宋体" w:hAnsi="宋体" w:eastAsia="宋体" w:cs="宋体"/>
          <w:sz w:val="24"/>
          <w:szCs w:val="24"/>
          <w:lang w:val="en-US" w:eastAsia="zh-CN"/>
        </w:rPr>
      </w:pPr>
    </w:p>
    <w:p w14:paraId="3349A2A2">
      <w:pPr>
        <w:outlineLvl w:val="9"/>
        <w:rPr>
          <w:rFonts w:hint="eastAsia" w:ascii="宋体" w:hAnsi="宋体" w:eastAsia="宋体" w:cs="宋体"/>
          <w:sz w:val="24"/>
          <w:szCs w:val="24"/>
          <w:lang w:val="en-US" w:eastAsia="zh-CN"/>
        </w:rPr>
      </w:pPr>
    </w:p>
    <w:p w14:paraId="4B43E185">
      <w:pPr>
        <w:outlineLvl w:val="9"/>
        <w:rPr>
          <w:rFonts w:hint="eastAsia" w:ascii="宋体" w:hAnsi="宋体" w:eastAsia="宋体" w:cs="宋体"/>
          <w:sz w:val="24"/>
          <w:szCs w:val="24"/>
          <w:lang w:val="en-US" w:eastAsia="zh-CN"/>
        </w:rPr>
      </w:pPr>
    </w:p>
    <w:p w14:paraId="0EC963C8">
      <w:pPr>
        <w:outlineLvl w:val="9"/>
        <w:rPr>
          <w:rFonts w:hint="eastAsia" w:ascii="宋体" w:hAnsi="宋体" w:eastAsia="宋体" w:cs="宋体"/>
          <w:sz w:val="24"/>
          <w:szCs w:val="24"/>
          <w:lang w:val="en-US" w:eastAsia="zh-CN"/>
        </w:rPr>
      </w:pPr>
    </w:p>
    <w:bookmarkEnd w:id="21"/>
    <w:p w14:paraId="30C0B7F0">
      <w:pPr>
        <w:jc w:val="center"/>
        <w:outlineLvl w:val="9"/>
        <w:rPr>
          <w:rFonts w:hint="eastAsia" w:ascii="宋体" w:hAnsi="宋体" w:eastAsia="宋体" w:cs="宋体"/>
          <w:b/>
          <w:bCs/>
          <w:sz w:val="32"/>
          <w:szCs w:val="32"/>
        </w:rPr>
      </w:pPr>
      <w:bookmarkStart w:id="22" w:name="_Toc351203632"/>
      <w:r>
        <w:rPr>
          <w:rFonts w:hint="eastAsia" w:ascii="宋体" w:hAnsi="宋体" w:eastAsia="宋体" w:cs="宋体"/>
          <w:b/>
          <w:bCs/>
          <w:sz w:val="32"/>
          <w:szCs w:val="32"/>
        </w:rPr>
        <w:t>第三部分 专用合同条款</w:t>
      </w:r>
      <w:bookmarkEnd w:id="22"/>
    </w:p>
    <w:p w14:paraId="7628C762">
      <w:pPr>
        <w:spacing w:before="120" w:after="120" w:line="360" w:lineRule="auto"/>
        <w:jc w:val="left"/>
        <w:rPr>
          <w:rFonts w:hint="eastAsia" w:ascii="宋体" w:hAnsi="宋体" w:eastAsia="宋体" w:cs="宋体"/>
          <w:b w:val="0"/>
          <w:bCs/>
          <w:color w:val="auto"/>
          <w:sz w:val="24"/>
        </w:rPr>
      </w:pPr>
      <w:bookmarkStart w:id="23" w:name="_Toc351203633"/>
      <w:r>
        <w:rPr>
          <w:rFonts w:hint="eastAsia" w:ascii="宋体" w:hAnsi="宋体" w:eastAsia="宋体" w:cs="宋体"/>
          <w:b w:val="0"/>
          <w:bCs/>
          <w:color w:val="auto"/>
          <w:sz w:val="24"/>
        </w:rPr>
        <w:t>1</w:t>
      </w:r>
      <w:bookmarkStart w:id="24" w:name="_Toc296346657"/>
      <w:bookmarkStart w:id="25" w:name="_Toc296503156"/>
      <w:bookmarkStart w:id="26" w:name="_Toc292559361"/>
      <w:bookmarkStart w:id="27" w:name="_Toc296944495"/>
      <w:bookmarkStart w:id="28" w:name="_Toc297120456"/>
      <w:bookmarkStart w:id="29" w:name="_Toc296891196"/>
      <w:bookmarkStart w:id="30" w:name="_Toc296347155"/>
      <w:bookmarkStart w:id="31" w:name="_Toc292559866"/>
      <w:bookmarkStart w:id="32" w:name="_Toc297048342"/>
      <w:bookmarkStart w:id="33" w:name="_Toc296890984"/>
      <w:r>
        <w:rPr>
          <w:rFonts w:hint="eastAsia" w:ascii="宋体" w:hAnsi="宋体" w:eastAsia="宋体" w:cs="宋体"/>
          <w:b w:val="0"/>
          <w:bCs/>
          <w:color w:val="auto"/>
          <w:sz w:val="24"/>
        </w:rPr>
        <w:t>. 一般约定</w:t>
      </w:r>
      <w:bookmarkEnd w:id="23"/>
    </w:p>
    <w:bookmarkEnd w:id="24"/>
    <w:bookmarkEnd w:id="25"/>
    <w:bookmarkEnd w:id="26"/>
    <w:bookmarkEnd w:id="27"/>
    <w:bookmarkEnd w:id="28"/>
    <w:bookmarkEnd w:id="29"/>
    <w:bookmarkEnd w:id="30"/>
    <w:bookmarkEnd w:id="31"/>
    <w:bookmarkEnd w:id="32"/>
    <w:bookmarkEnd w:id="33"/>
    <w:p w14:paraId="62A1212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 词语定义</w:t>
      </w:r>
    </w:p>
    <w:p w14:paraId="47CCF83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1.1.1合同</w:t>
      </w:r>
    </w:p>
    <w:p w14:paraId="35FC859B">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rPr>
        <w:t>1.1.1.10其他合同文件包括：</w:t>
      </w:r>
      <w:r>
        <w:rPr>
          <w:rFonts w:hint="eastAsia" w:ascii="宋体" w:hAnsi="宋体" w:eastAsia="宋体" w:cs="宋体"/>
          <w:b w:val="0"/>
          <w:bCs/>
          <w:color w:val="auto"/>
          <w:sz w:val="24"/>
          <w:szCs w:val="24"/>
          <w:highlight w:val="none"/>
          <w:u w:val="single"/>
        </w:rPr>
        <w:t>（1）</w:t>
      </w:r>
      <w:r>
        <w:rPr>
          <w:rFonts w:hint="eastAsia" w:ascii="宋体" w:hAnsi="宋体" w:cs="宋体"/>
          <w:b w:val="0"/>
          <w:bCs/>
          <w:color w:val="auto"/>
          <w:sz w:val="24"/>
          <w:szCs w:val="24"/>
          <w:highlight w:val="none"/>
          <w:u w:val="single"/>
          <w:lang w:val="en-US" w:eastAsia="zh-CN"/>
        </w:rPr>
        <w:t>招标</w:t>
      </w:r>
      <w:r>
        <w:rPr>
          <w:rFonts w:hint="eastAsia" w:ascii="宋体" w:hAnsi="宋体" w:eastAsia="宋体" w:cs="宋体"/>
          <w:b w:val="0"/>
          <w:bCs/>
          <w:color w:val="auto"/>
          <w:sz w:val="24"/>
          <w:szCs w:val="24"/>
          <w:highlight w:val="none"/>
          <w:u w:val="single"/>
        </w:rPr>
        <w:t>文件、答疑纪要及工程量清单；</w:t>
      </w:r>
    </w:p>
    <w:p w14:paraId="292A9D23">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（2）</w:t>
      </w:r>
      <w:r>
        <w:rPr>
          <w:rFonts w:hint="eastAsia" w:ascii="宋体" w:hAnsi="宋体" w:cs="宋体"/>
          <w:b w:val="0"/>
          <w:bCs/>
          <w:color w:val="auto"/>
          <w:sz w:val="24"/>
          <w:szCs w:val="24"/>
          <w:highlight w:val="none"/>
          <w:u w:val="single"/>
          <w:lang w:val="en-US" w:eastAsia="zh-CN"/>
        </w:rPr>
        <w:t>投标</w:t>
      </w:r>
      <w:r>
        <w:rPr>
          <w:rFonts w:hint="eastAsia" w:ascii="宋体" w:hAnsi="宋体" w:eastAsia="宋体" w:cs="宋体"/>
          <w:b w:val="0"/>
          <w:bCs/>
          <w:color w:val="auto"/>
          <w:sz w:val="24"/>
          <w:szCs w:val="24"/>
          <w:highlight w:val="none"/>
          <w:u w:val="single"/>
        </w:rPr>
        <w:t>文件、主要材料、设备投标参考品牌表，安全协议、廉政协议及其他附件。（3）双方为履行本合同的有关联系单、变更单等书面协议、文件，视为本合同的组成部分。（4）标准规范及有关技术性文件及其附件等。（5）图纸。</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sz w:val="24"/>
          <w:szCs w:val="24"/>
          <w:highlight w:val="none"/>
          <w:u w:val="single"/>
          <w:lang w:val="en-US" w:eastAsia="zh-CN"/>
        </w:rPr>
        <w:t>6</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kern w:val="2"/>
          <w:sz w:val="24"/>
          <w:szCs w:val="24"/>
          <w:highlight w:val="none"/>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color w:val="auto"/>
          <w:sz w:val="24"/>
          <w:szCs w:val="24"/>
          <w:highlight w:val="none"/>
        </w:rPr>
        <w:t>。</w:t>
      </w:r>
    </w:p>
    <w:p w14:paraId="32859F0E">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1.1.2 合同当事人及其他相关方</w:t>
      </w:r>
    </w:p>
    <w:p w14:paraId="5CA80004">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1.1.2.4监理人：</w:t>
      </w:r>
    </w:p>
    <w:p w14:paraId="621C510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4A00D7CC">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4EFBDFE5">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441E97B">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3A702225">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AB6A6AD">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1.1.2.5 设计人：</w:t>
      </w:r>
    </w:p>
    <w:p w14:paraId="108A9B4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24E96A7">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09667BA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C6B92D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4D648C7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2B46354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 工程和设备</w:t>
      </w:r>
    </w:p>
    <w:p w14:paraId="6C011FC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1.1.3.7 作为施工现场组成部分的其他场所包括：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符合通用条款规定的发包方提供的施工场地。</w:t>
      </w:r>
    </w:p>
    <w:p w14:paraId="01AC02C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1.1.3.9 永久占地包括：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用地红线范围内的本工程施工场所</w:t>
      </w:r>
      <w:r>
        <w:rPr>
          <w:rFonts w:hint="eastAsia" w:ascii="宋体" w:hAnsi="宋体" w:eastAsia="宋体" w:cs="宋体"/>
          <w:b w:val="0"/>
          <w:bCs/>
          <w:color w:val="auto"/>
          <w:sz w:val="24"/>
        </w:rPr>
        <w:t>。</w:t>
      </w:r>
    </w:p>
    <w:p w14:paraId="780673B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1.1.3.10 临时占地包括：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41A12F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1.3法律 </w:t>
      </w:r>
    </w:p>
    <w:p w14:paraId="296942B4">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适用于合同的其他规范性文件：</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szCs w:val="24"/>
          <w:highlight w:val="none"/>
          <w:u w:val="single"/>
          <w:lang w:val="en-US" w:eastAsia="zh-CN"/>
        </w:rPr>
        <w:t>《中华人民共和国民法典》、《中华人民共和国建筑法》、《中华人民共和国招标投标法》、《建设工程安全生产管理条例》、《建筑工程强制性标准条文》、《房屋建筑工程质量保修办法》、《陕西省建筑市场管理条例》、住建部【2018】37号文《危险性较大的分部分项工程安全管理规定》、陕建管发(2025)10号《陕西省建设工程工程量清单计价标准及计算标准（2025）》、陕建发[2017]270号文件《关于增加建设工程扬尘治理专项措施费》及其他有关法律、行政法规和相关规定等</w:t>
      </w:r>
      <w:r>
        <w:rPr>
          <w:rFonts w:hint="eastAsia" w:ascii="宋体" w:hAnsi="宋体" w:eastAsia="宋体" w:cs="宋体"/>
          <w:b w:val="0"/>
          <w:bCs/>
          <w:color w:val="auto"/>
          <w:spacing w:val="-4"/>
          <w:sz w:val="24"/>
          <w:u w:val="single"/>
        </w:rPr>
        <w:t>。</w:t>
      </w:r>
    </w:p>
    <w:p w14:paraId="7DE0046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 标准和规范</w:t>
      </w:r>
    </w:p>
    <w:p w14:paraId="0A4786F4">
      <w:pPr>
        <w:spacing w:line="360" w:lineRule="auto"/>
        <w:ind w:firstLine="480" w:firstLineChars="200"/>
        <w:rPr>
          <w:rFonts w:hint="eastAsia" w:ascii="宋体" w:hAnsi="宋体" w:eastAsia="宋体" w:cs="宋体"/>
          <w:b w:val="0"/>
          <w:bCs/>
          <w:color w:val="auto"/>
          <w:kern w:val="2"/>
          <w:sz w:val="24"/>
          <w:szCs w:val="24"/>
          <w:highlight w:val="none"/>
          <w:u w:val="single"/>
        </w:rPr>
      </w:pPr>
      <w:r>
        <w:rPr>
          <w:rFonts w:hint="eastAsia" w:ascii="宋体" w:hAnsi="宋体" w:eastAsia="宋体" w:cs="宋体"/>
          <w:b w:val="0"/>
          <w:bCs/>
          <w:color w:val="auto"/>
          <w:sz w:val="24"/>
        </w:rPr>
        <w:t>1.4.1适用于工程的标准规范包括：</w:t>
      </w:r>
      <w:r>
        <w:rPr>
          <w:rFonts w:hint="eastAsia" w:ascii="宋体" w:hAnsi="宋体" w:eastAsia="宋体" w:cs="宋体"/>
          <w:b w:val="0"/>
          <w:bCs/>
          <w:color w:val="auto"/>
          <w:kern w:val="2"/>
          <w:sz w:val="24"/>
          <w:szCs w:val="24"/>
          <w:u w:val="single"/>
        </w:rPr>
        <w:t xml:space="preserve"> </w:t>
      </w:r>
      <w:r>
        <w:rPr>
          <w:rFonts w:hint="eastAsia" w:ascii="宋体" w:hAnsi="宋体" w:eastAsia="宋体" w:cs="宋体"/>
          <w:b w:val="0"/>
          <w:bCs/>
          <w:color w:val="auto"/>
          <w:sz w:val="24"/>
          <w:szCs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color w:val="auto"/>
          <w:kern w:val="2"/>
          <w:sz w:val="24"/>
          <w:szCs w:val="24"/>
          <w:highlight w:val="none"/>
          <w:u w:val="single"/>
        </w:rPr>
        <w:t xml:space="preserve"> </w:t>
      </w:r>
    </w:p>
    <w:p w14:paraId="16D2234B">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u w:val="single"/>
        </w:rPr>
        <w:t>发包人提供标准、规范的时间：除施工图纸外所有标准、规范、规程及标准图集等均由承包人自备，费用承包人自理。</w:t>
      </w:r>
    </w:p>
    <w:p w14:paraId="535E8FA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FF8E0A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F4E5DB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674D672">
      <w:pPr>
        <w:spacing w:line="360" w:lineRule="auto"/>
        <w:ind w:left="596" w:leftChars="284"/>
        <w:rPr>
          <w:rFonts w:hint="eastAsia" w:ascii="宋体" w:hAnsi="宋体" w:eastAsia="宋体" w:cs="宋体"/>
          <w:b w:val="0"/>
          <w:bCs/>
          <w:color w:val="auto"/>
          <w:sz w:val="24"/>
        </w:rPr>
      </w:pPr>
      <w:r>
        <w:rPr>
          <w:rFonts w:hint="eastAsia" w:ascii="宋体" w:hAnsi="宋体" w:eastAsia="宋体" w:cs="宋体"/>
          <w:b w:val="0"/>
          <w:bCs/>
          <w:color w:val="auto"/>
          <w:sz w:val="24"/>
        </w:rPr>
        <w:t>1.4.3发包人对工程的技术标准和功能要求的特殊要求：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D00E3C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 合同文件的优先顺序</w:t>
      </w:r>
    </w:p>
    <w:p w14:paraId="5B6A93A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合同文件组成及优先顺序为：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执行通用条款</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745C43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 图纸和承包人文件</w:t>
      </w:r>
      <w:r>
        <w:rPr>
          <w:rFonts w:hint="eastAsia" w:ascii="宋体" w:hAnsi="宋体" w:eastAsia="宋体" w:cs="宋体"/>
          <w:b w:val="0"/>
          <w:bCs/>
          <w:color w:val="auto"/>
          <w:sz w:val="24"/>
        </w:rPr>
        <w:tab/>
      </w:r>
    </w:p>
    <w:p w14:paraId="4F99135B">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发包人向承包人提供图纸的期限：</w:t>
      </w:r>
      <w:r>
        <w:rPr>
          <w:rFonts w:hint="eastAsia" w:ascii="宋体" w:hAnsi="宋体" w:eastAsia="宋体" w:cs="宋体"/>
          <w:b w:val="0"/>
          <w:bCs/>
          <w:color w:val="auto"/>
          <w:kern w:val="2"/>
          <w:sz w:val="24"/>
          <w:szCs w:val="24"/>
          <w:highlight w:val="none"/>
          <w:u w:val="single"/>
        </w:rPr>
        <w:t>按照通用条款执行，即开工日期前14天向承包人提供，其他提供日期见以下有关内容</w:t>
      </w:r>
      <w:r>
        <w:rPr>
          <w:rFonts w:hint="eastAsia" w:ascii="宋体" w:hAnsi="宋体" w:eastAsia="宋体" w:cs="宋体"/>
          <w:b w:val="0"/>
          <w:bCs/>
          <w:color w:val="auto"/>
          <w:sz w:val="24"/>
          <w:szCs w:val="24"/>
          <w:highlight w:val="none"/>
        </w:rPr>
        <w:t>；</w:t>
      </w:r>
    </w:p>
    <w:p w14:paraId="125B7F78">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发包人向承包人提供图纸的数量：</w:t>
      </w:r>
      <w:r>
        <w:rPr>
          <w:rFonts w:hint="eastAsia" w:ascii="宋体" w:hAnsi="宋体" w:eastAsia="宋体" w:cs="宋体"/>
          <w:b w:val="0"/>
          <w:bCs/>
          <w:color w:val="auto"/>
          <w:sz w:val="24"/>
          <w:szCs w:val="24"/>
          <w:highlight w:val="none"/>
          <w:u w:val="single"/>
        </w:rPr>
        <w:t>施工图</w:t>
      </w:r>
      <w:r>
        <w:rPr>
          <w:rFonts w:hint="eastAsia" w:ascii="宋体" w:hAnsi="宋体" w:eastAsia="宋体" w:cs="宋体"/>
          <w:b w:val="0"/>
          <w:bCs/>
          <w:color w:val="auto"/>
          <w:sz w:val="24"/>
          <w:szCs w:val="24"/>
          <w:highlight w:val="none"/>
          <w:u w:val="single"/>
          <w:lang w:val="en-US" w:eastAsia="zh-CN"/>
        </w:rPr>
        <w:t>肆</w:t>
      </w:r>
      <w:r>
        <w:rPr>
          <w:rFonts w:hint="eastAsia" w:ascii="宋体" w:hAnsi="宋体" w:eastAsia="宋体" w:cs="宋体"/>
          <w:b w:val="0"/>
          <w:bCs/>
          <w:color w:val="auto"/>
          <w:sz w:val="24"/>
          <w:szCs w:val="24"/>
          <w:highlight w:val="none"/>
          <w:u w:val="single"/>
        </w:rPr>
        <w:t>套（含制作竣工图所用图纸），如承包人需要增加图纸数量，可由发包人和设计院进行联系，费用由承包人承担；</w:t>
      </w:r>
    </w:p>
    <w:p w14:paraId="1DCEA4A7">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发包人向承包人提供图纸的内容：</w:t>
      </w:r>
      <w:r>
        <w:rPr>
          <w:rFonts w:hint="eastAsia" w:ascii="宋体" w:hAnsi="宋体" w:eastAsia="宋体" w:cs="宋体"/>
          <w:b w:val="0"/>
          <w:bCs/>
          <w:color w:val="auto"/>
          <w:sz w:val="24"/>
          <w:szCs w:val="24"/>
          <w:highlight w:val="none"/>
          <w:u w:val="single"/>
        </w:rPr>
        <w:t xml:space="preserve">发包范围内的全套施工图  </w:t>
      </w:r>
      <w:r>
        <w:rPr>
          <w:rFonts w:hint="eastAsia" w:ascii="宋体" w:hAnsi="宋体" w:eastAsia="宋体" w:cs="宋体"/>
          <w:b w:val="0"/>
          <w:bCs/>
          <w:color w:val="auto"/>
          <w:sz w:val="24"/>
          <w:szCs w:val="24"/>
          <w:highlight w:val="none"/>
        </w:rPr>
        <w:t>。</w:t>
      </w:r>
    </w:p>
    <w:p w14:paraId="4F55ED11">
      <w:pPr>
        <w:spacing w:line="360" w:lineRule="auto"/>
        <w:ind w:firstLine="480" w:firstLineChars="200"/>
        <w:rPr>
          <w:rFonts w:hint="eastAsia" w:ascii="宋体" w:hAnsi="宋体" w:eastAsia="宋体" w:cs="宋体"/>
          <w:b w:val="0"/>
          <w:bCs/>
          <w:color w:val="auto"/>
          <w:sz w:val="24"/>
          <w:szCs w:val="24"/>
          <w:u w:val="single"/>
          <w:lang w:val="en-US" w:eastAsia="zh-CN"/>
        </w:rPr>
      </w:pPr>
      <w:r>
        <w:rPr>
          <w:rFonts w:hint="eastAsia" w:ascii="宋体" w:hAnsi="宋体" w:eastAsia="宋体" w:cs="宋体"/>
          <w:b w:val="0"/>
          <w:bCs/>
          <w:color w:val="auto"/>
          <w:sz w:val="24"/>
          <w:szCs w:val="24"/>
          <w:u w:val="none"/>
          <w:lang w:val="en-US" w:eastAsia="zh-CN"/>
        </w:rPr>
        <w:t>发包人对图纸的保密要求：</w:t>
      </w:r>
      <w:r>
        <w:rPr>
          <w:rFonts w:hint="eastAsia" w:ascii="宋体" w:hAnsi="宋体" w:eastAsia="宋体" w:cs="宋体"/>
          <w:b w:val="0"/>
          <w:bCs/>
          <w:color w:val="auto"/>
          <w:sz w:val="24"/>
          <w:szCs w:val="24"/>
          <w:u w:val="single"/>
          <w:lang w:val="en-US" w:eastAsia="zh-CN"/>
        </w:rPr>
        <w:t>不得向第三方外传、外借、转让、披露，仅用于本工程的施工及验收的全过程。若出现图纸因承包人向第三方外传、外借、转让、披露等，造成发包人的所有损失，全部由承包人承担。</w:t>
      </w:r>
    </w:p>
    <w:p w14:paraId="26016206">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1.6.4 承包人文件</w:t>
      </w:r>
    </w:p>
    <w:p w14:paraId="287075FE">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需要由承包人提供的文件，包括：</w:t>
      </w:r>
      <w:r>
        <w:rPr>
          <w:rFonts w:hint="eastAsia" w:ascii="宋体" w:hAnsi="宋体" w:eastAsia="宋体" w:cs="宋体"/>
          <w:b w:val="0"/>
          <w:bCs/>
          <w:color w:val="auto"/>
          <w:sz w:val="24"/>
          <w:szCs w:val="24"/>
          <w:highlight w:val="none"/>
          <w:u w:val="single"/>
          <w:lang w:val="en-US" w:eastAsia="zh-CN"/>
        </w:rPr>
        <w:t>竣工图纸、进度款支付申请、竣工结算、竣工资料、变更签证、施工过程资料；合同签订后，另提供一套加盖公章的投标文件副本</w:t>
      </w:r>
      <w:r>
        <w:rPr>
          <w:rFonts w:hint="eastAsia" w:ascii="宋体" w:hAnsi="宋体" w:eastAsia="宋体" w:cs="宋体"/>
          <w:b w:val="0"/>
          <w:bCs/>
          <w:color w:val="auto"/>
          <w:sz w:val="24"/>
          <w:szCs w:val="24"/>
          <w:highlight w:val="none"/>
        </w:rPr>
        <w:t>；</w:t>
      </w:r>
    </w:p>
    <w:p w14:paraId="43EDCA48">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承包人提供的文件的期限为：</w:t>
      </w:r>
      <w:r>
        <w:rPr>
          <w:rFonts w:hint="eastAsia" w:ascii="宋体" w:hAnsi="宋体" w:eastAsia="宋体" w:cs="宋体"/>
          <w:b w:val="0"/>
          <w:bCs/>
          <w:color w:val="auto"/>
          <w:sz w:val="24"/>
          <w:szCs w:val="24"/>
          <w:highlight w:val="none"/>
          <w:u w:val="single"/>
          <w:lang w:val="en-US" w:eastAsia="zh-CN"/>
        </w:rPr>
        <w:t>按发包人的时间要求；</w:t>
      </w:r>
    </w:p>
    <w:p w14:paraId="1D06BD3A">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承包人提供的文件的数量为：</w:t>
      </w:r>
      <w:r>
        <w:rPr>
          <w:rFonts w:hint="eastAsia" w:ascii="宋体" w:hAnsi="宋体" w:eastAsia="宋体" w:cs="宋体"/>
          <w:b w:val="0"/>
          <w:bCs/>
          <w:color w:val="auto"/>
          <w:sz w:val="24"/>
          <w:szCs w:val="24"/>
          <w:highlight w:val="none"/>
          <w:u w:val="single"/>
          <w:lang w:val="en-US" w:eastAsia="zh-CN"/>
        </w:rPr>
        <w:t>按发包人要求提供；</w:t>
      </w:r>
    </w:p>
    <w:p w14:paraId="52A9EFB3">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承包人提供的文件的形式为：</w:t>
      </w:r>
      <w:r>
        <w:rPr>
          <w:rFonts w:hint="eastAsia" w:ascii="宋体" w:hAnsi="宋体" w:eastAsia="宋体" w:cs="宋体"/>
          <w:b w:val="0"/>
          <w:bCs/>
          <w:color w:val="auto"/>
          <w:sz w:val="24"/>
          <w:szCs w:val="24"/>
          <w:highlight w:val="none"/>
          <w:u w:val="single"/>
          <w:lang w:val="en-US" w:eastAsia="zh-CN"/>
        </w:rPr>
        <w:t>纸质、电子；</w:t>
      </w:r>
    </w:p>
    <w:p w14:paraId="7479EB3A">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发包人审批承包人文件的期限：</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rPr>
        <w:t>。</w:t>
      </w:r>
    </w:p>
    <w:p w14:paraId="0785B612">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1.6.5 现场图纸准备</w:t>
      </w:r>
    </w:p>
    <w:p w14:paraId="45F6C01F">
      <w:pPr>
        <w:spacing w:line="360" w:lineRule="auto"/>
        <w:ind w:firstLine="480" w:firstLineChars="200"/>
        <w:rPr>
          <w:rFonts w:hint="eastAsia" w:ascii="宋体" w:hAnsi="宋体" w:eastAsia="宋体" w:cs="宋体"/>
          <w:b w:val="0"/>
          <w:bCs/>
          <w:color w:val="auto"/>
          <w:sz w:val="24"/>
          <w:szCs w:val="24"/>
          <w:u w:val="single"/>
        </w:rPr>
      </w:pPr>
      <w:r>
        <w:rPr>
          <w:rFonts w:hint="eastAsia" w:ascii="宋体" w:hAnsi="宋体" w:eastAsia="宋体" w:cs="宋体"/>
          <w:b w:val="0"/>
          <w:bCs/>
          <w:color w:val="auto"/>
          <w:sz w:val="24"/>
          <w:szCs w:val="24"/>
        </w:rPr>
        <w:t>关于现场图纸准备的约定：</w:t>
      </w:r>
      <w:r>
        <w:rPr>
          <w:rFonts w:hint="eastAsia" w:ascii="宋体" w:hAnsi="宋体" w:eastAsia="宋体" w:cs="宋体"/>
          <w:b w:val="0"/>
          <w:bCs/>
          <w:color w:val="auto"/>
          <w:sz w:val="24"/>
          <w:szCs w:val="24"/>
          <w:u w:val="single"/>
        </w:rPr>
        <w:t xml:space="preserve">  承包人应在施工现场保留一套完整图纸供发包人、监理人及有关人员使用。</w:t>
      </w:r>
    </w:p>
    <w:p w14:paraId="0C6EE354">
      <w:pPr>
        <w:spacing w:after="120"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 联络</w:t>
      </w:r>
    </w:p>
    <w:p w14:paraId="62EB6A3E">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1.7.1发包人和承包人应当在</w:t>
      </w:r>
      <w:r>
        <w:rPr>
          <w:rFonts w:hint="eastAsia" w:ascii="宋体" w:hAnsi="宋体" w:eastAsia="宋体" w:cs="宋体"/>
          <w:b w:val="0"/>
          <w:bCs/>
          <w:color w:val="auto"/>
          <w:sz w:val="24"/>
          <w:szCs w:val="24"/>
          <w:highlight w:val="none"/>
          <w:u w:val="single"/>
        </w:rPr>
        <w:t>7</w:t>
      </w:r>
      <w:r>
        <w:rPr>
          <w:rFonts w:hint="eastAsia" w:ascii="宋体" w:hAnsi="宋体" w:eastAsia="宋体" w:cs="宋体"/>
          <w:b w:val="0"/>
          <w:bCs/>
          <w:color w:val="auto"/>
          <w:sz w:val="24"/>
          <w:szCs w:val="24"/>
          <w:highlight w:val="none"/>
        </w:rPr>
        <w:t>天内将与合同有关的通知、批准、证明、证书、指示、指令、要求、请求、同意、意见、确定和决定等书面函件送达对方当事人。</w:t>
      </w:r>
    </w:p>
    <w:p w14:paraId="3B556EA8">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1.7.2 发包人接收文件的地点：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项目所在地发包人办公室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00F410A3">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发包人驻工地代表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2B20DB26">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项目所在地承包人办公室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5190B927">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承包方项目经理</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A7FB6B8">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项目所在地监理人办公室</w:t>
      </w:r>
      <w:r>
        <w:rPr>
          <w:rFonts w:hint="eastAsia" w:ascii="宋体" w:hAnsi="宋体" w:eastAsia="宋体" w:cs="宋体"/>
          <w:b w:val="0"/>
          <w:bCs/>
          <w:color w:val="auto"/>
          <w:sz w:val="24"/>
          <w:szCs w:val="24"/>
          <w:highlight w:val="none"/>
          <w:u w:val="single"/>
        </w:rPr>
        <w:t>    </w:t>
      </w:r>
      <w:r>
        <w:rPr>
          <w:rFonts w:hint="eastAsia" w:ascii="宋体" w:hAnsi="宋体" w:eastAsia="宋体" w:cs="宋体"/>
          <w:b w:val="0"/>
          <w:bCs/>
          <w:color w:val="auto"/>
          <w:sz w:val="24"/>
          <w:szCs w:val="24"/>
          <w:highlight w:val="none"/>
        </w:rPr>
        <w:t>；</w:t>
      </w:r>
    </w:p>
    <w:p w14:paraId="79B45D69">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highlight w:val="none"/>
        </w:rPr>
        <w:t>监理人指定的接收人为：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 xml:space="preserve">项目总监或总监代表     </w:t>
      </w:r>
      <w:r>
        <w:rPr>
          <w:rFonts w:hint="eastAsia" w:ascii="宋体" w:hAnsi="宋体" w:cs="宋体"/>
          <w:b w:val="0"/>
          <w:bCs/>
          <w:color w:val="auto"/>
          <w:kern w:val="2"/>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534C0DE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1.10 交通运输</w:t>
      </w:r>
    </w:p>
    <w:p w14:paraId="18E2E2A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4" w:name="_Toc303539100"/>
      <w:bookmarkStart w:id="35" w:name="_Toc300934943"/>
      <w:bookmarkStart w:id="36" w:name="_Toc318581155"/>
      <w:bookmarkStart w:id="37" w:name="_Toc312677986"/>
      <w:bookmarkStart w:id="38" w:name="_Toc304295521"/>
      <w:r>
        <w:rPr>
          <w:rFonts w:hint="eastAsia" w:ascii="宋体" w:hAnsi="宋体" w:eastAsia="宋体" w:cs="宋体"/>
          <w:b w:val="0"/>
          <w:bCs/>
          <w:color w:val="auto"/>
          <w:sz w:val="24"/>
        </w:rPr>
        <w:t>.10.1 出入现场的权利</w:t>
      </w:r>
    </w:p>
    <w:p w14:paraId="30D0646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关于出入现场的权利的约定：</w:t>
      </w:r>
      <w:r>
        <w:rPr>
          <w:rFonts w:hint="eastAsia" w:ascii="宋体" w:hAnsi="宋体" w:eastAsia="宋体" w:cs="宋体"/>
          <w:b w:val="0"/>
          <w:bCs/>
          <w:color w:val="auto"/>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4"/>
    <w:bookmarkEnd w:id="35"/>
    <w:bookmarkEnd w:id="36"/>
    <w:bookmarkEnd w:id="37"/>
    <w:bookmarkEnd w:id="38"/>
    <w:p w14:paraId="7BA704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9" w:name="_Toc303539101"/>
      <w:bookmarkStart w:id="40" w:name="_Toc304295522"/>
      <w:bookmarkStart w:id="41" w:name="_Toc312677987"/>
      <w:bookmarkStart w:id="42" w:name="_Toc300934944"/>
      <w:bookmarkStart w:id="43" w:name="_Toc318581156"/>
      <w:r>
        <w:rPr>
          <w:rFonts w:hint="eastAsia" w:ascii="宋体" w:hAnsi="宋体" w:eastAsia="宋体" w:cs="宋体"/>
          <w:b w:val="0"/>
          <w:bCs/>
          <w:color w:val="auto"/>
          <w:sz w:val="24"/>
        </w:rPr>
        <w:t>.10.3 场内交通</w:t>
      </w:r>
    </w:p>
    <w:p w14:paraId="748668C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关于场外交通和场内交通的边界的约定：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建筑红线</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A7D1DF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关于发包人向承包人免费提供满足工程施工需要的场内道路和交通设施的约定：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 xml:space="preserve">       / </w:t>
      </w:r>
      <w:r>
        <w:rPr>
          <w:rFonts w:hint="eastAsia" w:ascii="宋体" w:hAnsi="宋体" w:eastAsia="宋体" w:cs="宋体"/>
          <w:b w:val="0"/>
          <w:bCs/>
          <w:color w:val="auto"/>
          <w:sz w:val="24"/>
        </w:rPr>
        <w:t>。</w:t>
      </w:r>
      <w:bookmarkEnd w:id="39"/>
      <w:bookmarkEnd w:id="40"/>
      <w:bookmarkEnd w:id="41"/>
      <w:bookmarkEnd w:id="42"/>
      <w:bookmarkEnd w:id="43"/>
      <w:r>
        <w:rPr>
          <w:rFonts w:hint="eastAsia" w:ascii="宋体" w:hAnsi="宋体" w:eastAsia="宋体" w:cs="宋体"/>
          <w:b w:val="0"/>
          <w:bCs/>
          <w:color w:val="auto"/>
          <w:sz w:val="24"/>
        </w:rPr>
        <w:t xml:space="preserve">  </w:t>
      </w:r>
      <w:bookmarkStart w:id="44" w:name="_Toc318581157"/>
    </w:p>
    <w:p w14:paraId="2DABB63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1.10.4超大件和超重件的运输</w:t>
      </w:r>
    </w:p>
    <w:p w14:paraId="168E30E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运输超大件或超重件所需的道路和桥梁临时加固改造费用和其他有关费用由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承包方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承担。</w:t>
      </w:r>
    </w:p>
    <w:bookmarkEnd w:id="44"/>
    <w:p w14:paraId="22C6CD2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 知识产权</w:t>
      </w:r>
    </w:p>
    <w:p w14:paraId="1685AAD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color w:val="auto"/>
          <w:kern w:val="2"/>
          <w:sz w:val="24"/>
          <w:u w:val="single"/>
        </w:rPr>
        <w:t xml:space="preserve"> 发包人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040E3B2">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关于发包人提供的上述文件的使用限制的要求：</w:t>
      </w:r>
      <w:r>
        <w:rPr>
          <w:rFonts w:hint="eastAsia" w:ascii="宋体" w:hAnsi="宋体" w:eastAsia="宋体" w:cs="宋体"/>
          <w:b w:val="0"/>
          <w:bCs/>
          <w:color w:val="auto"/>
          <w:sz w:val="24"/>
          <w:u w:val="single"/>
          <w:lang w:val="en-US" w:eastAsia="zh-CN"/>
        </w:rPr>
        <w:t>未经发包人同意不得外传、外借</w:t>
      </w:r>
      <w:r>
        <w:rPr>
          <w:rFonts w:hint="eastAsia" w:ascii="宋体" w:hAnsi="宋体" w:eastAsia="宋体" w:cs="宋体"/>
          <w:b w:val="0"/>
          <w:bCs/>
          <w:color w:val="auto"/>
          <w:sz w:val="24"/>
        </w:rPr>
        <w:t>。</w:t>
      </w:r>
    </w:p>
    <w:p w14:paraId="24A981C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1.11.2 关于承包人为实施工程所编制文件的著作权的归属：</w:t>
      </w:r>
      <w:r>
        <w:rPr>
          <w:rFonts w:hint="eastAsia" w:ascii="宋体" w:hAnsi="宋体" w:eastAsia="宋体" w:cs="宋体"/>
          <w:b w:val="0"/>
          <w:bCs/>
          <w:color w:val="auto"/>
          <w:kern w:val="2"/>
          <w:sz w:val="24"/>
          <w:u w:val="single"/>
        </w:rPr>
        <w:t>发包人</w:t>
      </w:r>
      <w:r>
        <w:rPr>
          <w:rFonts w:hint="eastAsia" w:ascii="宋体" w:hAnsi="宋体" w:eastAsia="宋体" w:cs="宋体"/>
          <w:b w:val="0"/>
          <w:bCs/>
          <w:color w:val="auto"/>
          <w:sz w:val="24"/>
        </w:rPr>
        <w:t>。</w:t>
      </w:r>
    </w:p>
    <w:p w14:paraId="5F19E304">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关于承包人提供的上述文件的使用限制的要求：</w:t>
      </w:r>
      <w:r>
        <w:rPr>
          <w:rFonts w:hint="eastAsia" w:ascii="宋体" w:hAnsi="宋体" w:eastAsia="宋体" w:cs="宋体"/>
          <w:b w:val="0"/>
          <w:bCs/>
          <w:color w:val="auto"/>
          <w:sz w:val="24"/>
          <w:u w:val="single"/>
        </w:rPr>
        <w:t></w:t>
      </w:r>
      <w:r>
        <w:rPr>
          <w:rFonts w:hint="eastAsia" w:ascii="宋体" w:hAnsi="宋体" w:eastAsia="宋体" w:cs="宋体"/>
          <w:b w:val="0"/>
          <w:bCs/>
          <w:color w:val="auto"/>
          <w:kern w:val="2"/>
          <w:sz w:val="24"/>
          <w:u w:val="single"/>
        </w:rPr>
        <w:t>执行通用条款如果违反通用条款约定，每发生一次承包人向发包人支付违约金</w:t>
      </w:r>
      <w:r>
        <w:rPr>
          <w:rFonts w:hint="eastAsia" w:ascii="宋体" w:hAnsi="宋体" w:eastAsia="宋体" w:cs="宋体"/>
          <w:b w:val="0"/>
          <w:bCs/>
          <w:color w:val="auto"/>
          <w:kern w:val="2"/>
          <w:sz w:val="24"/>
          <w:u w:val="single"/>
          <w:lang w:val="en-US" w:eastAsia="zh-CN"/>
        </w:rPr>
        <w:t>2</w:t>
      </w:r>
      <w:r>
        <w:rPr>
          <w:rFonts w:hint="eastAsia" w:ascii="宋体" w:hAnsi="宋体" w:eastAsia="宋体" w:cs="宋体"/>
          <w:b w:val="0"/>
          <w:bCs/>
          <w:color w:val="auto"/>
          <w:kern w:val="2"/>
          <w:sz w:val="24"/>
          <w:u w:val="single"/>
        </w:rPr>
        <w:t>万元，并承担有可能造成泄密造成的违约责任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B27E0B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1.11.4 承包人在施工过程中所采用的专利、专有技术、技术秘密的使用费的承担方式：</w:t>
      </w:r>
      <w:r>
        <w:rPr>
          <w:rFonts w:hint="eastAsia" w:ascii="宋体" w:hAnsi="宋体" w:eastAsia="宋体" w:cs="宋体"/>
          <w:b w:val="0"/>
          <w:bCs/>
          <w:color w:val="auto"/>
          <w:sz w:val="24"/>
          <w:u w:val="single"/>
        </w:rPr>
        <w:t xml:space="preserve">   承包人自行承担   </w:t>
      </w:r>
      <w:r>
        <w:rPr>
          <w:rFonts w:hint="eastAsia" w:ascii="宋体" w:hAnsi="宋体" w:eastAsia="宋体" w:cs="宋体"/>
          <w:b w:val="0"/>
          <w:bCs/>
          <w:color w:val="auto"/>
          <w:sz w:val="24"/>
        </w:rPr>
        <w:t>。</w:t>
      </w:r>
    </w:p>
    <w:p w14:paraId="7B3A6221">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1.13工程量清单错误的修正</w:t>
      </w:r>
    </w:p>
    <w:p w14:paraId="18848EE7">
      <w:pPr>
        <w:snapToGrid w:val="0"/>
        <w:spacing w:line="360" w:lineRule="auto"/>
        <w:ind w:firstLine="480" w:firstLineChars="200"/>
        <w:rPr>
          <w:rFonts w:ascii="宋体" w:hAnsi="宋体" w:eastAsia="宋体" w:cs="宋体"/>
          <w:b w:val="0"/>
          <w:bCs/>
          <w:color w:val="auto"/>
          <w:sz w:val="24"/>
          <w:szCs w:val="24"/>
        </w:rPr>
      </w:pPr>
      <w:bookmarkStart w:id="45" w:name="_Toc351203634"/>
      <w:r>
        <w:rPr>
          <w:rFonts w:hint="eastAsia" w:ascii="宋体" w:hAnsi="宋体" w:eastAsia="宋体" w:cs="宋体"/>
          <w:b w:val="0"/>
          <w:bCs/>
          <w:color w:val="auto"/>
          <w:sz w:val="24"/>
          <w:szCs w:val="24"/>
        </w:rPr>
        <w:t>出现工程量清单错误时，是否调整合同价格：</w:t>
      </w:r>
      <w:r>
        <w:rPr>
          <w:rFonts w:hint="eastAsia" w:ascii="宋体" w:hAnsi="宋体" w:eastAsia="宋体" w:cs="宋体"/>
          <w:b w:val="0"/>
          <w:bCs/>
          <w:color w:val="auto"/>
          <w:sz w:val="24"/>
          <w:szCs w:val="24"/>
          <w:u w:val="single"/>
        </w:rPr>
        <w:t xml:space="preserve">    执行通用合同条款  </w:t>
      </w:r>
      <w:r>
        <w:rPr>
          <w:rFonts w:hint="eastAsia" w:ascii="宋体" w:hAnsi="宋体" w:eastAsia="宋体" w:cs="宋体"/>
          <w:b w:val="0"/>
          <w:bCs/>
          <w:color w:val="auto"/>
          <w:sz w:val="24"/>
          <w:szCs w:val="24"/>
        </w:rPr>
        <w:t>。</w:t>
      </w:r>
    </w:p>
    <w:p w14:paraId="22A0995D">
      <w:pPr>
        <w:snapToGrid w:val="0"/>
        <w:spacing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rPr>
        <w:t>允许调整合同价格的工程量偏差范围：</w:t>
      </w:r>
      <w:r>
        <w:rPr>
          <w:rFonts w:hint="eastAsia" w:ascii="宋体" w:hAnsi="宋体" w:eastAsia="宋体" w:cs="宋体"/>
          <w:b w:val="0"/>
          <w:bCs/>
          <w:color w:val="auto"/>
          <w:sz w:val="24"/>
          <w:szCs w:val="24"/>
          <w:highlight w:val="none"/>
          <w:u w:val="single"/>
        </w:rPr>
        <w:t xml:space="preserve"> 按</w:t>
      </w:r>
      <w:r>
        <w:rPr>
          <w:rFonts w:hint="eastAsia" w:ascii="宋体" w:hAnsi="宋体" w:eastAsia="宋体" w:cs="宋体"/>
          <w:b w:val="0"/>
          <w:bCs/>
          <w:color w:val="auto"/>
          <w:sz w:val="24"/>
          <w:szCs w:val="24"/>
          <w:highlight w:val="none"/>
          <w:u w:val="single"/>
          <w:lang w:eastAsia="zh-CN"/>
        </w:rPr>
        <w:t>照</w:t>
      </w:r>
      <w:r>
        <w:rPr>
          <w:rFonts w:hint="eastAsia" w:ascii="宋体" w:hAnsi="宋体" w:eastAsia="宋体" w:cs="宋体"/>
          <w:b w:val="0"/>
          <w:bCs/>
          <w:color w:val="auto"/>
          <w:sz w:val="24"/>
          <w:szCs w:val="24"/>
          <w:highlight w:val="none"/>
          <w:u w:val="single"/>
        </w:rPr>
        <w:t>《</w:t>
      </w:r>
      <w:r>
        <w:rPr>
          <w:rFonts w:hint="eastAsia" w:ascii="宋体" w:hAnsi="宋体" w:eastAsia="宋体" w:cs="宋体"/>
          <w:b w:val="0"/>
          <w:bCs/>
          <w:color w:val="auto"/>
          <w:sz w:val="24"/>
          <w:szCs w:val="24"/>
          <w:highlight w:val="none"/>
          <w:u w:val="single"/>
          <w:lang w:val="zh-CN" w:eastAsia="zh-CN"/>
        </w:rPr>
        <w:t>陕西省建</w:t>
      </w:r>
      <w:r>
        <w:rPr>
          <w:rFonts w:hint="eastAsia" w:ascii="宋体" w:hAnsi="宋体" w:eastAsia="宋体" w:cs="宋体"/>
          <w:b w:val="0"/>
          <w:bCs/>
          <w:color w:val="auto"/>
          <w:sz w:val="24"/>
          <w:szCs w:val="24"/>
          <w:highlight w:val="none"/>
          <w:u w:val="single"/>
          <w:lang w:val="en-US" w:eastAsia="zh-CN"/>
        </w:rPr>
        <w:t>设</w:t>
      </w:r>
      <w:r>
        <w:rPr>
          <w:rFonts w:hint="eastAsia" w:ascii="宋体" w:hAnsi="宋体" w:eastAsia="宋体" w:cs="宋体"/>
          <w:b w:val="0"/>
          <w:bCs/>
          <w:color w:val="auto"/>
          <w:sz w:val="24"/>
          <w:szCs w:val="24"/>
          <w:highlight w:val="none"/>
          <w:u w:val="single"/>
          <w:lang w:val="zh-CN" w:eastAsia="zh-CN"/>
        </w:rPr>
        <w:t>工程工程量清单计价</w:t>
      </w:r>
      <w:r>
        <w:rPr>
          <w:rFonts w:hint="eastAsia" w:ascii="宋体" w:hAnsi="宋体" w:eastAsia="宋体" w:cs="宋体"/>
          <w:b w:val="0"/>
          <w:bCs/>
          <w:color w:val="auto"/>
          <w:sz w:val="24"/>
          <w:szCs w:val="24"/>
          <w:highlight w:val="none"/>
          <w:u w:val="single"/>
          <w:lang w:val="en-US" w:eastAsia="zh-CN"/>
        </w:rPr>
        <w:t>标准及计算标准</w:t>
      </w:r>
      <w:r>
        <w:rPr>
          <w:rFonts w:hint="eastAsia" w:ascii="宋体" w:hAnsi="宋体" w:eastAsia="宋体" w:cs="宋体"/>
          <w:b w:val="0"/>
          <w:bCs/>
          <w:color w:val="auto"/>
          <w:sz w:val="24"/>
          <w:szCs w:val="24"/>
          <w:highlight w:val="none"/>
          <w:u w:val="single"/>
          <w:lang w:val="zh-CN" w:eastAsia="zh-CN"/>
        </w:rPr>
        <w:t>（20</w:t>
      </w:r>
      <w:r>
        <w:rPr>
          <w:rFonts w:hint="eastAsia" w:ascii="宋体" w:hAnsi="宋体" w:eastAsia="宋体" w:cs="宋体"/>
          <w:b w:val="0"/>
          <w:bCs/>
          <w:color w:val="auto"/>
          <w:sz w:val="24"/>
          <w:szCs w:val="24"/>
          <w:highlight w:val="none"/>
          <w:u w:val="single"/>
          <w:lang w:val="en-US" w:eastAsia="zh-CN"/>
        </w:rPr>
        <w:t>25</w:t>
      </w:r>
      <w:r>
        <w:rPr>
          <w:rFonts w:hint="eastAsia" w:ascii="宋体" w:hAnsi="宋体" w:eastAsia="宋体" w:cs="宋体"/>
          <w:b w:val="0"/>
          <w:bCs/>
          <w:color w:val="auto"/>
          <w:sz w:val="24"/>
          <w:szCs w:val="24"/>
          <w:highlight w:val="none"/>
          <w:u w:val="single"/>
          <w:lang w:val="zh-CN" w:eastAsia="zh-CN"/>
        </w:rPr>
        <w:t>）</w:t>
      </w:r>
      <w:r>
        <w:rPr>
          <w:rFonts w:hint="eastAsia" w:ascii="宋体" w:hAnsi="宋体" w:eastAsia="宋体" w:cs="宋体"/>
          <w:b w:val="0"/>
          <w:bCs/>
          <w:color w:val="auto"/>
          <w:sz w:val="24"/>
          <w:szCs w:val="24"/>
          <w:highlight w:val="none"/>
          <w:u w:val="single"/>
        </w:rPr>
        <w:t>》据实</w:t>
      </w:r>
      <w:r>
        <w:rPr>
          <w:rFonts w:hint="eastAsia" w:ascii="宋体" w:hAnsi="宋体" w:eastAsia="宋体" w:cs="宋体"/>
          <w:b w:val="0"/>
          <w:bCs/>
          <w:color w:val="auto"/>
          <w:sz w:val="24"/>
          <w:szCs w:val="24"/>
          <w:highlight w:val="none"/>
          <w:u w:val="single"/>
          <w:lang w:eastAsia="zh-CN"/>
        </w:rPr>
        <w:t>调整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319771AD">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bookmarkStart w:id="46" w:name="_Toc292559867"/>
      <w:bookmarkStart w:id="47" w:name="_Toc296944496"/>
      <w:bookmarkStart w:id="48" w:name="_Toc292559362"/>
      <w:bookmarkStart w:id="49" w:name="_Toc296503157"/>
      <w:bookmarkStart w:id="50" w:name="_Toc297120457"/>
      <w:bookmarkStart w:id="51" w:name="_Toc296891197"/>
      <w:bookmarkStart w:id="52" w:name="_Toc296346658"/>
      <w:bookmarkStart w:id="53" w:name="_Toc296890985"/>
      <w:bookmarkStart w:id="54" w:name="_Toc296347156"/>
      <w:bookmarkStart w:id="55" w:name="_Toc297048343"/>
      <w:r>
        <w:rPr>
          <w:rFonts w:hint="eastAsia" w:ascii="宋体" w:hAnsi="宋体" w:eastAsia="宋体" w:cs="宋体"/>
          <w:b w:val="0"/>
          <w:bCs/>
          <w:color w:val="auto"/>
          <w:sz w:val="24"/>
        </w:rPr>
        <w:t>. 发包人</w:t>
      </w:r>
      <w:bookmarkEnd w:id="45"/>
    </w:p>
    <w:bookmarkEnd w:id="46"/>
    <w:bookmarkEnd w:id="47"/>
    <w:bookmarkEnd w:id="48"/>
    <w:bookmarkEnd w:id="49"/>
    <w:bookmarkEnd w:id="50"/>
    <w:bookmarkEnd w:id="51"/>
    <w:bookmarkEnd w:id="52"/>
    <w:bookmarkEnd w:id="53"/>
    <w:bookmarkEnd w:id="54"/>
    <w:bookmarkEnd w:id="55"/>
    <w:p w14:paraId="59D299C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2.2 发包人代表</w:t>
      </w:r>
    </w:p>
    <w:p w14:paraId="3D65AF27">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发包人代表：</w:t>
      </w:r>
    </w:p>
    <w:p w14:paraId="53C3495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C31EBC7">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身份证号：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677FAA9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C0A53EC">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490D2C1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7919315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19C4A2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发包人对发包人代表的授权范围如下：</w:t>
      </w:r>
      <w:r>
        <w:rPr>
          <w:rFonts w:hint="eastAsia" w:ascii="宋体" w:hAnsi="宋体" w:eastAsia="宋体" w:cs="宋体"/>
          <w:b w:val="0"/>
          <w:bCs/>
          <w:color w:val="auto"/>
          <w:sz w:val="24"/>
          <w:szCs w:val="24"/>
          <w:highlight w:val="none"/>
          <w:u w:val="single"/>
          <w:lang w:val="en-US" w:eastAsia="zh-CN"/>
        </w:rPr>
        <w:t>负责施工全过程内、外关系协调、处理往来文件、对工 程进度、质量、安全、文明施工、工程造价进行管理，具有本合同及与本工程有关的所有合同的履 行权；对工程规模、设计标准、规划设计、生产工艺设计和设计使用功能要求的认定权；对工程设计变更的审判权；工程变更及签证的确认权；主要建筑材料、设备的认质认价权，工程价款的支付权；负责本工程所有外部关系的协调、组织工程竣工验收；行使发包人应有的其他权利和义务；并负责对监理单位进行监督管理</w:t>
      </w:r>
      <w:r>
        <w:rPr>
          <w:rFonts w:hint="eastAsia" w:ascii="宋体" w:hAnsi="宋体" w:eastAsia="宋体" w:cs="宋体"/>
          <w:b w:val="0"/>
          <w:bCs/>
          <w:color w:val="auto"/>
          <w:sz w:val="24"/>
          <w:szCs w:val="24"/>
          <w:highlight w:val="none"/>
          <w:u w:val="single"/>
        </w:rPr>
        <w:t>。</w:t>
      </w:r>
    </w:p>
    <w:p w14:paraId="2B7DE91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 施工现场、施工条件和基础资料的提供</w:t>
      </w:r>
    </w:p>
    <w:p w14:paraId="79552BF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2.4.1 提供施工现场</w:t>
      </w:r>
    </w:p>
    <w:p w14:paraId="7C6B93C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关于发包人移交施工现场的期限要求：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部分施工场地于合同签约日期以前完成，满足部分工程开工条件</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D3BE97C">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2.4.2 提供施工条件</w:t>
      </w:r>
    </w:p>
    <w:p w14:paraId="6BE83E15">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关于发包人应负责提供施工所需要的条件，包括：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029DF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2.5 资金来源证明及支付担保</w:t>
      </w:r>
    </w:p>
    <w:p w14:paraId="692222B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发包人提供资金来源证明的期限要求：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3FB13B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发包人是否提供支付担保：</w:t>
      </w:r>
      <w:r>
        <w:rPr>
          <w:rFonts w:hint="eastAsia" w:ascii="宋体" w:hAnsi="宋体" w:eastAsia="宋体" w:cs="宋体"/>
          <w:b w:val="0"/>
          <w:bCs/>
          <w:color w:val="auto"/>
          <w:sz w:val="24"/>
          <w:u w:val="single"/>
        </w:rPr>
        <w:t xml:space="preserve">                   /             </w:t>
      </w:r>
      <w:r>
        <w:rPr>
          <w:rFonts w:hint="eastAsia" w:ascii="宋体" w:hAnsi="宋体" w:eastAsia="宋体" w:cs="宋体"/>
          <w:b w:val="0"/>
          <w:bCs/>
          <w:color w:val="auto"/>
          <w:sz w:val="24"/>
        </w:rPr>
        <w:t>。</w:t>
      </w:r>
    </w:p>
    <w:p w14:paraId="1F7C689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发包人提供支付担保的形式：</w:t>
      </w:r>
      <w:r>
        <w:rPr>
          <w:rFonts w:hint="eastAsia" w:ascii="宋体" w:hAnsi="宋体" w:eastAsia="宋体" w:cs="宋体"/>
          <w:b w:val="0"/>
          <w:bCs/>
          <w:color w:val="auto"/>
          <w:sz w:val="24"/>
          <w:u w:val="single"/>
        </w:rPr>
        <w:t>                /                </w:t>
      </w:r>
      <w:r>
        <w:rPr>
          <w:rFonts w:hint="eastAsia" w:ascii="宋体" w:hAnsi="宋体" w:eastAsia="宋体" w:cs="宋体"/>
          <w:b w:val="0"/>
          <w:bCs/>
          <w:color w:val="auto"/>
          <w:sz w:val="24"/>
        </w:rPr>
        <w:t>。</w:t>
      </w:r>
    </w:p>
    <w:p w14:paraId="5CBCB6D8">
      <w:pPr>
        <w:spacing w:before="120" w:after="120" w:line="360" w:lineRule="auto"/>
        <w:jc w:val="left"/>
        <w:rPr>
          <w:rFonts w:hint="eastAsia" w:ascii="宋体" w:hAnsi="宋体" w:eastAsia="宋体" w:cs="宋体"/>
          <w:b w:val="0"/>
          <w:bCs/>
          <w:color w:val="auto"/>
          <w:sz w:val="24"/>
        </w:rPr>
      </w:pPr>
      <w:bookmarkStart w:id="56" w:name="_Toc351203635"/>
      <w:r>
        <w:rPr>
          <w:rFonts w:hint="eastAsia" w:ascii="宋体" w:hAnsi="宋体" w:eastAsia="宋体" w:cs="宋体"/>
          <w:b w:val="0"/>
          <w:bCs/>
          <w:color w:val="auto"/>
          <w:sz w:val="24"/>
        </w:rPr>
        <w:t>3</w:t>
      </w:r>
      <w:bookmarkStart w:id="57" w:name="_Toc296503158"/>
      <w:bookmarkStart w:id="58" w:name="_Toc296944497"/>
      <w:bookmarkStart w:id="59" w:name="_Toc296347157"/>
      <w:bookmarkStart w:id="60" w:name="_Toc292559868"/>
      <w:bookmarkStart w:id="61" w:name="_Toc296891198"/>
      <w:bookmarkStart w:id="62" w:name="_Toc296890986"/>
      <w:bookmarkStart w:id="63" w:name="_Toc297048344"/>
      <w:bookmarkStart w:id="64" w:name="_Toc297120458"/>
      <w:bookmarkStart w:id="65" w:name="_Toc292559363"/>
      <w:bookmarkStart w:id="66" w:name="_Toc296346659"/>
      <w:r>
        <w:rPr>
          <w:rFonts w:hint="eastAsia" w:ascii="宋体" w:hAnsi="宋体" w:eastAsia="宋体" w:cs="宋体"/>
          <w:b w:val="0"/>
          <w:bCs/>
          <w:color w:val="auto"/>
          <w:sz w:val="24"/>
        </w:rPr>
        <w:t>. 承包人</w:t>
      </w:r>
      <w:bookmarkEnd w:id="56"/>
    </w:p>
    <w:bookmarkEnd w:id="57"/>
    <w:bookmarkEnd w:id="58"/>
    <w:bookmarkEnd w:id="59"/>
    <w:bookmarkEnd w:id="60"/>
    <w:bookmarkEnd w:id="61"/>
    <w:bookmarkEnd w:id="62"/>
    <w:bookmarkEnd w:id="63"/>
    <w:bookmarkEnd w:id="64"/>
    <w:bookmarkEnd w:id="65"/>
    <w:bookmarkEnd w:id="66"/>
    <w:p w14:paraId="7CCB520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3.1 承包人的一般义务</w:t>
      </w:r>
    </w:p>
    <w:p w14:paraId="79F0BAC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施工组织设计审批表（原件）； </w:t>
      </w:r>
    </w:p>
    <w:p w14:paraId="71DD184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 施工企业安全生产许可证； </w:t>
      </w:r>
    </w:p>
    <w:p w14:paraId="10ED8B6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建筑工程施工人员团体短期意外伤害保险投保单； </w:t>
      </w:r>
    </w:p>
    <w:p w14:paraId="27A5726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 针对本工程特点所采取的安全措施； </w:t>
      </w:r>
    </w:p>
    <w:p w14:paraId="5EF42CC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⑤ 安全培训证明； </w:t>
      </w:r>
    </w:p>
    <w:p w14:paraId="251F60A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⑥ 企业安全生产登记表和相关缴费，以及附件 1：安全生产合同（发包方、监理、承包方三方签订）、附件 2：工程质量终身责任承诺书（发包方、监理、承包人、设计、勘察）。 </w:t>
      </w:r>
    </w:p>
    <w:p w14:paraId="3029319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配合发包人办理施工许可证，及时提供以下资料： </w:t>
      </w:r>
    </w:p>
    <w:p w14:paraId="1E683B1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施工企业项目经理法人委托书； </w:t>
      </w:r>
    </w:p>
    <w:p w14:paraId="7C558C3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②（施工企业与有资质的劳务公司签订的）劳务合同； </w:t>
      </w:r>
    </w:p>
    <w:p w14:paraId="45AA019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施工企业安全生产许可证； </w:t>
      </w:r>
    </w:p>
    <w:p w14:paraId="2A46173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④劳动保障金缴纳证明； </w:t>
      </w:r>
    </w:p>
    <w:p w14:paraId="1D96C9C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⑤建筑施工项目工伤保险参保证明。</w:t>
      </w:r>
    </w:p>
    <w:p w14:paraId="2F47D9A9">
      <w:pPr>
        <w:spacing w:line="360" w:lineRule="auto"/>
        <w:ind w:firstLine="240" w:firstLineChars="100"/>
        <w:jc w:val="left"/>
        <w:rPr>
          <w:rFonts w:hint="eastAsia" w:ascii="宋体" w:hAnsi="宋体" w:eastAsia="宋体" w:cs="宋体"/>
          <w:b w:val="0"/>
          <w:bCs/>
          <w:color w:val="auto"/>
          <w:sz w:val="24"/>
        </w:rPr>
      </w:pPr>
      <w:r>
        <w:rPr>
          <w:rFonts w:hint="eastAsia" w:ascii="宋体" w:hAnsi="宋体" w:eastAsia="宋体" w:cs="宋体"/>
          <w:b w:val="0"/>
          <w:bCs/>
          <w:color w:val="auto"/>
          <w:sz w:val="24"/>
        </w:rPr>
        <w:t>（9）承包人提交的竣工资料的内容：</w:t>
      </w:r>
      <w:r>
        <w:rPr>
          <w:rFonts w:hint="eastAsia" w:ascii="宋体" w:hAnsi="宋体" w:eastAsia="宋体" w:cs="宋体"/>
          <w:b w:val="0"/>
          <w:bCs/>
          <w:color w:val="auto"/>
          <w:sz w:val="24"/>
          <w:u w:val="single"/>
        </w:rPr>
        <w:t xml:space="preserve">  承包人向发包人提交完整竣工图纸及竣工图电子文档  </w:t>
      </w:r>
      <w:r>
        <w:rPr>
          <w:rFonts w:hint="eastAsia" w:ascii="宋体" w:hAnsi="宋体" w:eastAsia="宋体" w:cs="宋体"/>
          <w:b w:val="0"/>
          <w:bCs/>
          <w:color w:val="auto"/>
          <w:sz w:val="24"/>
        </w:rPr>
        <w:t>。</w:t>
      </w:r>
    </w:p>
    <w:p w14:paraId="1FB3D92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承包人需要提交的竣工资料套数：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四套                </w:t>
      </w:r>
      <w:r>
        <w:rPr>
          <w:rFonts w:hint="eastAsia" w:ascii="宋体" w:hAnsi="宋体" w:eastAsia="宋体" w:cs="宋体"/>
          <w:b w:val="0"/>
          <w:bCs/>
          <w:color w:val="auto"/>
          <w:sz w:val="24"/>
        </w:rPr>
        <w:t>。</w:t>
      </w:r>
    </w:p>
    <w:p w14:paraId="55A3D37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承包人提交的竣工资料的费用承担：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由承包人承担</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61A355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承包人提交的竣工资料移交时间：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工程竣工验收合格后2个月内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0226EF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承包人提交的竣工资料形式要求：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书面及电子文档</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87DB14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（10）承包人应履行的其他义务：</w:t>
      </w:r>
    </w:p>
    <w:p w14:paraId="3555B83B">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5992C9AA">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2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②</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应提供计划、报表的名称及完成时间：</w:t>
      </w:r>
      <w:r>
        <w:rPr>
          <w:rFonts w:hint="eastAsia" w:ascii="宋体" w:hAnsi="宋体" w:eastAsia="宋体" w:cs="宋体"/>
          <w:b w:val="0"/>
          <w:bCs/>
          <w:color w:val="auto"/>
          <w:kern w:val="2"/>
          <w:u w:val="single"/>
        </w:rPr>
        <w:t>开工日期前3日内</w:t>
      </w:r>
      <w:r>
        <w:rPr>
          <w:rFonts w:hint="eastAsia" w:ascii="宋体" w:hAnsi="宋体" w:eastAsia="宋体" w:cs="宋体"/>
          <w:b w:val="0"/>
          <w:bCs/>
          <w:color w:val="auto"/>
          <w:kern w:val="2"/>
        </w:rPr>
        <w:t>提供总体进度计划，</w:t>
      </w:r>
      <w:r>
        <w:rPr>
          <w:rFonts w:hint="eastAsia" w:ascii="宋体" w:hAnsi="宋体" w:eastAsia="宋体" w:cs="宋体"/>
          <w:b w:val="0"/>
          <w:bCs/>
          <w:color w:val="auto"/>
          <w:kern w:val="2"/>
          <w:u w:val="single"/>
        </w:rPr>
        <w:t>每月25日</w:t>
      </w:r>
      <w:r>
        <w:rPr>
          <w:rFonts w:hint="eastAsia" w:ascii="宋体" w:hAnsi="宋体" w:eastAsia="宋体" w:cs="宋体"/>
          <w:b w:val="0"/>
          <w:bCs/>
          <w:color w:val="auto"/>
          <w:kern w:val="2"/>
        </w:rPr>
        <w:t>提供本月完成工程量及下月进度计划，且这些工程中的工作进度计划应经发包人签收并确认。</w:t>
      </w:r>
    </w:p>
    <w:p w14:paraId="584F2946">
      <w:pPr>
        <w:spacing w:line="420" w:lineRule="exact"/>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3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③</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2137AA9B">
      <w:pPr>
        <w:pStyle w:val="19"/>
        <w:spacing w:before="0" w:beforeAutospacing="0" w:after="0" w:afterAutospacing="0" w:line="420" w:lineRule="exact"/>
        <w:ind w:firstLine="480" w:firstLineChars="200"/>
        <w:jc w:val="both"/>
        <w:rPr>
          <w:rFonts w:hint="eastAsia" w:ascii="宋体" w:hAnsi="宋体" w:eastAsia="宋体" w:cs="宋体"/>
          <w:b w:val="0"/>
          <w:bCs/>
          <w:color w:val="auto"/>
          <w:kern w:val="2"/>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4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④</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33F58BD5">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5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⑤</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15A86D8E">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6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⑥</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0059CD3A">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7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⑦</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1F384F49">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8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⑧</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1A4F3E6D">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9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⑨</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如因承包人原因导致发包人发生额外支出时，发包人将从工程款或履约保证金中扣除相应金额。</w:t>
      </w:r>
    </w:p>
    <w:p w14:paraId="49DA139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 项目经理</w:t>
      </w:r>
    </w:p>
    <w:p w14:paraId="632C319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3.2.1 项目经理：</w:t>
      </w:r>
    </w:p>
    <w:p w14:paraId="1893D8B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姓    名：</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B368F0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身份证号：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25EF00A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建造师执业资格等级：</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190605D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建造师注册证书号：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14267CF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建造师执业印章号：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4E15CA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安全生产考核合格证书号：</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47C35BA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联系电话：</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61B03DF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电子信箱：</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36B48E0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通信地址：</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2C1E976C">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承包人对项目经理的授权范围如下：</w:t>
      </w:r>
      <w:r>
        <w:rPr>
          <w:rFonts w:hint="eastAsia" w:ascii="宋体" w:hAnsi="宋体" w:eastAsia="宋体" w:cs="宋体"/>
          <w:b w:val="0"/>
          <w:bCs/>
          <w:color w:val="auto"/>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color w:val="auto"/>
          <w:sz w:val="24"/>
        </w:rPr>
        <w:t>。</w:t>
      </w:r>
    </w:p>
    <w:p w14:paraId="2761D68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关于项目经理每月在施工现场的时间要求：</w:t>
      </w:r>
      <w:r>
        <w:rPr>
          <w:rFonts w:hint="eastAsia" w:ascii="宋体" w:hAnsi="宋体" w:eastAsia="宋体" w:cs="宋体"/>
          <w:b w:val="0"/>
          <w:bCs/>
          <w:color w:val="auto"/>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color w:val="auto"/>
          <w:sz w:val="24"/>
        </w:rPr>
        <w:t>。</w:t>
      </w:r>
    </w:p>
    <w:p w14:paraId="0DD6B06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承包人未提交劳动合同，以及没有为项目经理缴纳社会保险证明的违约责任：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处以3000元罚款，责令限期提交劳动合同并补缴社会保险。</w:t>
      </w:r>
    </w:p>
    <w:p w14:paraId="4A56A74F">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项目经理未经批准，擅自离开施工现场的违约责任：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处以500元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60D1D94">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3.2.3 承包人擅自更换项目经理的违约责任：</w:t>
      </w:r>
      <w:r>
        <w:rPr>
          <w:rFonts w:hint="eastAsia" w:ascii="宋体" w:hAnsi="宋体" w:eastAsia="宋体" w:cs="宋体"/>
          <w:b w:val="0"/>
          <w:bCs/>
          <w:color w:val="auto"/>
          <w:kern w:val="2"/>
          <w:sz w:val="24"/>
          <w:u w:val="single"/>
        </w:rPr>
        <w:t>处以1万元罚款，承包人承担上述违约给发包人造成的一切损失</w:t>
      </w:r>
      <w:r>
        <w:rPr>
          <w:rFonts w:hint="eastAsia" w:ascii="宋体" w:hAnsi="宋体" w:eastAsia="宋体" w:cs="宋体"/>
          <w:b w:val="0"/>
          <w:bCs/>
          <w:color w:val="auto"/>
          <w:kern w:val="2"/>
          <w:sz w:val="24"/>
          <w:u w:val="single"/>
          <w:lang w:eastAsia="zh-CN"/>
        </w:rPr>
        <w:t>；且立即纠正违约行为，严禁擅自更换项目经理</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F64D61C">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3.2.4 承包人无正当理由拒绝</w:t>
      </w:r>
      <w:r>
        <w:rPr>
          <w:rFonts w:hint="eastAsia" w:ascii="宋体" w:hAnsi="宋体" w:eastAsia="宋体" w:cs="宋体"/>
          <w:b w:val="0"/>
          <w:bCs/>
          <w:color w:val="auto"/>
          <w:kern w:val="2"/>
          <w:sz w:val="24"/>
        </w:rPr>
        <w:t>更换经甲方及监理总监认为不称职的项目经理的</w:t>
      </w:r>
      <w:r>
        <w:rPr>
          <w:rFonts w:hint="eastAsia" w:ascii="宋体" w:hAnsi="宋体" w:eastAsia="宋体" w:cs="宋体"/>
          <w:b w:val="0"/>
          <w:bCs/>
          <w:color w:val="auto"/>
          <w:sz w:val="24"/>
        </w:rPr>
        <w:t>违约责任：</w:t>
      </w:r>
      <w:r>
        <w:rPr>
          <w:rFonts w:hint="eastAsia" w:ascii="宋体" w:hAnsi="宋体" w:eastAsia="宋体" w:cs="宋体"/>
          <w:b w:val="0"/>
          <w:bCs/>
          <w:color w:val="auto"/>
          <w:kern w:val="2"/>
          <w:sz w:val="24"/>
          <w:u w:val="single"/>
        </w:rPr>
        <w:t>处以1万元罚款，承包人承担上述违约给发包人造成的一切损失。</w:t>
      </w:r>
    </w:p>
    <w:p w14:paraId="016DF5E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 承包人人员</w:t>
      </w:r>
    </w:p>
    <w:p w14:paraId="2CFCC65B">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3.3.1 承包人提交项目管理机构及施工现场管理人员安排报告的期限：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工程开工前2天</w:t>
      </w:r>
      <w:r>
        <w:rPr>
          <w:rFonts w:hint="eastAsia" w:ascii="宋体" w:hAnsi="宋体" w:eastAsia="宋体" w:cs="宋体"/>
          <w:b w:val="0"/>
          <w:bCs/>
          <w:color w:val="auto"/>
          <w:sz w:val="24"/>
        </w:rPr>
        <w:t>。</w:t>
      </w:r>
    </w:p>
    <w:p w14:paraId="7343F2B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3.3.3 承包人无正当理由</w:t>
      </w:r>
      <w:r>
        <w:rPr>
          <w:rFonts w:hint="eastAsia" w:ascii="宋体" w:hAnsi="宋体" w:eastAsia="宋体" w:cs="宋体"/>
          <w:b w:val="0"/>
          <w:bCs/>
          <w:color w:val="auto"/>
          <w:kern w:val="2"/>
          <w:sz w:val="24"/>
        </w:rPr>
        <w:t>拒绝撤换经甲方及监理总监认为不称职的主要施工管理人员的</w:t>
      </w:r>
      <w:r>
        <w:rPr>
          <w:rFonts w:hint="eastAsia" w:ascii="宋体" w:hAnsi="宋体" w:eastAsia="宋体" w:cs="宋体"/>
          <w:b w:val="0"/>
          <w:bCs/>
          <w:color w:val="auto"/>
          <w:sz w:val="24"/>
        </w:rPr>
        <w:t>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p>
    <w:p w14:paraId="664E3D2A">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3.3.4 承包人主要施工管理人员离开施工现场的批准要求：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由总监理工程师批准，发包人认可后方可离开</w:t>
      </w:r>
      <w:r>
        <w:rPr>
          <w:rFonts w:hint="eastAsia" w:ascii="宋体" w:hAnsi="宋体" w:eastAsia="宋体" w:cs="宋体"/>
          <w:b w:val="0"/>
          <w:bCs/>
          <w:color w:val="auto"/>
          <w:sz w:val="24"/>
        </w:rPr>
        <w:t>。</w:t>
      </w:r>
    </w:p>
    <w:p w14:paraId="02539ABC">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3.3.5承包人擅自更换主要施工管理人员的违约责任：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2B13B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承包人主要施工管理人员擅自离开施工现场的违约责任：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517B55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67" w:name="_Toc296891199"/>
      <w:bookmarkStart w:id="68" w:name="_Toc292559869"/>
      <w:bookmarkStart w:id="69" w:name="_Toc296347158"/>
      <w:bookmarkStart w:id="70" w:name="_Toc292559364"/>
      <w:bookmarkStart w:id="71" w:name="_Toc297048345"/>
      <w:bookmarkStart w:id="72" w:name="_Toc304295523"/>
      <w:bookmarkStart w:id="73" w:name="_Toc312677988"/>
      <w:bookmarkStart w:id="74" w:name="_Toc297123492"/>
      <w:bookmarkStart w:id="75" w:name="_Toc296346660"/>
      <w:bookmarkStart w:id="76" w:name="_Toc297120459"/>
      <w:bookmarkStart w:id="77" w:name="_Toc300934945"/>
      <w:bookmarkStart w:id="78" w:name="_Toc296503159"/>
      <w:bookmarkStart w:id="79" w:name="_Toc296944498"/>
      <w:bookmarkStart w:id="80" w:name="_Toc297216151"/>
      <w:bookmarkStart w:id="81" w:name="_Toc296890987"/>
      <w:bookmarkStart w:id="82" w:name="_Toc303539102"/>
      <w:r>
        <w:rPr>
          <w:rFonts w:hint="eastAsia" w:ascii="宋体" w:hAnsi="宋体" w:eastAsia="宋体" w:cs="宋体"/>
          <w:b w:val="0"/>
          <w:bCs/>
          <w:color w:val="auto"/>
          <w:sz w:val="24"/>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3B56D14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83" w:name="_Toc292559365"/>
      <w:bookmarkStart w:id="84" w:name="_Toc297048346"/>
      <w:bookmarkStart w:id="85" w:name="_Toc296347159"/>
      <w:bookmarkStart w:id="86" w:name="_Toc296503160"/>
      <w:bookmarkStart w:id="87" w:name="_Toc300934946"/>
      <w:bookmarkStart w:id="88" w:name="_Toc292559870"/>
      <w:bookmarkStart w:id="89" w:name="_Toc296891200"/>
      <w:bookmarkStart w:id="90" w:name="_Toc304295524"/>
      <w:bookmarkStart w:id="91" w:name="_Toc297216152"/>
      <w:bookmarkStart w:id="92" w:name="_Toc297120460"/>
      <w:bookmarkStart w:id="93" w:name="_Toc303539103"/>
      <w:bookmarkStart w:id="94" w:name="_Toc296890988"/>
      <w:bookmarkStart w:id="95" w:name="_Toc297123493"/>
      <w:bookmarkStart w:id="96" w:name="_Toc296944499"/>
      <w:bookmarkStart w:id="97" w:name="_Toc296346661"/>
      <w:bookmarkStart w:id="98" w:name="_Toc312677989"/>
      <w:bookmarkStart w:id="99" w:name="_Toc318581158"/>
      <w:r>
        <w:rPr>
          <w:rFonts w:hint="eastAsia" w:ascii="宋体" w:hAnsi="宋体" w:eastAsia="宋体" w:cs="宋体"/>
          <w:b w:val="0"/>
          <w:bCs/>
          <w:color w:val="auto"/>
          <w:sz w:val="24"/>
        </w:rPr>
        <w:t>.5.1 分包的一般约定</w:t>
      </w:r>
    </w:p>
    <w:p w14:paraId="56ECF8F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禁止分包的工程包括：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本工程不允许分包（发包人划定的分包工程除外），确需分包的，须征得发包人同意 </w:t>
      </w:r>
      <w:r>
        <w:rPr>
          <w:rFonts w:hint="eastAsia" w:ascii="宋体" w:hAnsi="宋体" w:eastAsia="宋体" w:cs="宋体"/>
          <w:b w:val="0"/>
          <w:bCs/>
          <w:color w:val="auto"/>
          <w:sz w:val="24"/>
        </w:rPr>
        <w:t>。</w:t>
      </w:r>
    </w:p>
    <w:p w14:paraId="72EBB39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主体结构、关键性工作的范围：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296890989"/>
      <w:bookmarkStart w:id="101" w:name="_Toc297216153"/>
      <w:bookmarkStart w:id="102" w:name="_Toc303539104"/>
      <w:bookmarkStart w:id="103" w:name="_Toc296891201"/>
      <w:bookmarkStart w:id="104" w:name="_Toc297123494"/>
      <w:bookmarkStart w:id="105" w:name="_Toc296346662"/>
      <w:bookmarkStart w:id="106" w:name="_Toc296503161"/>
      <w:bookmarkStart w:id="107" w:name="_Toc300934947"/>
      <w:bookmarkStart w:id="108" w:name="_Toc304295525"/>
      <w:bookmarkStart w:id="109" w:name="_Toc296944500"/>
      <w:bookmarkStart w:id="110" w:name="_Toc297048347"/>
      <w:bookmarkStart w:id="111" w:name="_Toc297120461"/>
      <w:bookmarkStart w:id="112" w:name="_Toc296347160"/>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3463E0AB">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w:t>
      </w:r>
      <w:bookmarkStart w:id="113" w:name="_Toc318581159"/>
      <w:bookmarkStart w:id="114" w:name="_Toc312677990"/>
      <w:r>
        <w:rPr>
          <w:rFonts w:hint="eastAsia" w:ascii="宋体" w:hAnsi="宋体" w:eastAsia="宋体" w:cs="宋体"/>
          <w:b w:val="0"/>
          <w:bCs/>
          <w:color w:val="auto"/>
          <w:sz w:val="24"/>
        </w:rPr>
        <w:t>.5.2分包的确定</w:t>
      </w:r>
    </w:p>
    <w:p w14:paraId="471F1F0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允许分包的专业工程包括：</w:t>
      </w:r>
      <w:r>
        <w:rPr>
          <w:rFonts w:hint="eastAsia" w:ascii="宋体" w:hAnsi="宋体" w:eastAsia="宋体" w:cs="宋体"/>
          <w:b w:val="0"/>
          <w:bCs/>
          <w:color w:val="auto"/>
          <w:sz w:val="24"/>
          <w:u w:val="single"/>
          <w:lang w:eastAsia="zh-CN"/>
        </w:rPr>
        <w:t>专业工程暂估价（包括二次装修、绿化工程、设备采购等）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50F5D5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其他关于分包的约定：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eastAsia="zh-CN"/>
        </w:rPr>
        <w:t>专业工程暂估价由发包人负责发包，总承包方全力配合</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C6F77E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3.5.4 分包合同价款</w:t>
      </w:r>
    </w:p>
    <w:p w14:paraId="2E3D1C8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关于分包合同价款支付的约定：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113"/>
    <w:bookmarkEnd w:id="114"/>
    <w:p w14:paraId="30F5331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3.6 工程照管与成品、半成品保护</w:t>
      </w:r>
    </w:p>
    <w:p w14:paraId="0FBD1F6F">
      <w:pPr>
        <w:spacing w:before="120" w:after="120"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承包人负责照管工程及工程相关的材料、工程设备的起始时间：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设备、人员进场至验收交付使用前由承包人负责保修，无其它特殊要求的，费用由承包人承担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453C46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3.7 履约担保</w:t>
      </w:r>
    </w:p>
    <w:p w14:paraId="5FC0FB7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承包人是否提供履约担保：</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9022F8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承包人提供履约担保的形式、金额及期限的：</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4EDAA3B">
      <w:pPr>
        <w:spacing w:before="120" w:after="120" w:line="360" w:lineRule="auto"/>
        <w:jc w:val="left"/>
        <w:rPr>
          <w:rFonts w:hint="eastAsia" w:ascii="宋体" w:hAnsi="宋体" w:eastAsia="宋体" w:cs="宋体"/>
          <w:b w:val="0"/>
          <w:bCs/>
          <w:color w:val="auto"/>
          <w:sz w:val="24"/>
        </w:rPr>
      </w:pPr>
      <w:bookmarkStart w:id="115" w:name="_Toc351203636"/>
      <w:r>
        <w:rPr>
          <w:rFonts w:hint="eastAsia" w:ascii="宋体" w:hAnsi="宋体" w:eastAsia="宋体" w:cs="宋体"/>
          <w:b w:val="0"/>
          <w:bCs/>
          <w:color w:val="auto"/>
          <w:sz w:val="24"/>
        </w:rPr>
        <w:t>4</w:t>
      </w:r>
      <w:bookmarkStart w:id="116" w:name="_Toc297048348"/>
      <w:bookmarkStart w:id="117" w:name="_Toc267251413"/>
      <w:bookmarkStart w:id="118" w:name="_Toc296347161"/>
      <w:bookmarkStart w:id="119" w:name="_Toc292559366"/>
      <w:bookmarkStart w:id="120" w:name="_Toc297120462"/>
      <w:bookmarkStart w:id="121" w:name="_Toc292559871"/>
      <w:bookmarkStart w:id="122" w:name="_Toc296346663"/>
      <w:bookmarkStart w:id="123" w:name="_Toc296503162"/>
      <w:bookmarkStart w:id="124" w:name="_Toc296944501"/>
      <w:bookmarkStart w:id="125" w:name="_Toc296891202"/>
      <w:bookmarkStart w:id="126" w:name="_Toc296890990"/>
      <w:r>
        <w:rPr>
          <w:rFonts w:hint="eastAsia" w:ascii="宋体" w:hAnsi="宋体" w:eastAsia="宋体" w:cs="宋体"/>
          <w:b w:val="0"/>
          <w:bCs/>
          <w:color w:val="auto"/>
          <w:sz w:val="24"/>
        </w:rPr>
        <w:t>. 监</w:t>
      </w:r>
      <w:bookmarkEnd w:id="116"/>
      <w:bookmarkEnd w:id="117"/>
      <w:bookmarkEnd w:id="118"/>
      <w:bookmarkEnd w:id="119"/>
      <w:bookmarkEnd w:id="120"/>
      <w:bookmarkEnd w:id="121"/>
      <w:bookmarkEnd w:id="122"/>
      <w:bookmarkEnd w:id="123"/>
      <w:bookmarkEnd w:id="124"/>
      <w:bookmarkEnd w:id="125"/>
      <w:bookmarkEnd w:id="126"/>
      <w:r>
        <w:rPr>
          <w:rFonts w:hint="eastAsia" w:ascii="宋体" w:hAnsi="宋体" w:eastAsia="宋体" w:cs="宋体"/>
          <w:b w:val="0"/>
          <w:bCs/>
          <w:color w:val="auto"/>
          <w:sz w:val="24"/>
        </w:rPr>
        <w:t>理人</w:t>
      </w:r>
      <w:bookmarkEnd w:id="115"/>
    </w:p>
    <w:p w14:paraId="1D117AA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4.1监理人的一般规定</w:t>
      </w:r>
    </w:p>
    <w:p w14:paraId="4BCA8B4F">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关于监理人的监理内容：</w:t>
      </w:r>
      <w:r>
        <w:rPr>
          <w:rFonts w:hint="eastAsia" w:ascii="宋体" w:hAnsi="宋体" w:eastAsia="宋体" w:cs="宋体"/>
          <w:bCs/>
          <w:color w:val="auto"/>
          <w:sz w:val="24"/>
          <w:szCs w:val="24"/>
          <w:highlight w:val="none"/>
          <w:u w:val="single"/>
        </w:rPr>
        <w:t xml:space="preserve">  质量、进度、安全、投资控制、合同管理、协调等，详见监理委托合同  </w:t>
      </w:r>
      <w:r>
        <w:rPr>
          <w:rFonts w:hint="eastAsia" w:ascii="宋体" w:hAnsi="宋体" w:eastAsia="宋体" w:cs="宋体"/>
          <w:bCs/>
          <w:color w:val="auto"/>
          <w:sz w:val="24"/>
          <w:szCs w:val="24"/>
          <w:highlight w:val="none"/>
        </w:rPr>
        <w:t>。</w:t>
      </w:r>
    </w:p>
    <w:p w14:paraId="5999CF77">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关于监理人的监理权限：</w:t>
      </w:r>
      <w:r>
        <w:rPr>
          <w:rFonts w:hint="eastAsia" w:ascii="宋体" w:hAnsi="宋体" w:eastAsia="宋体" w:cs="宋体"/>
          <w:bCs/>
          <w:color w:val="auto"/>
          <w:sz w:val="24"/>
          <w:szCs w:val="24"/>
          <w:highlight w:val="none"/>
          <w:u w:val="single"/>
        </w:rPr>
        <w:t xml:space="preserve"> 见监理合同</w:t>
      </w:r>
      <w:r>
        <w:rPr>
          <w:rFonts w:hint="eastAsia" w:ascii="宋体" w:hAnsi="宋体" w:eastAsia="宋体" w:cs="宋体"/>
          <w:bCs/>
          <w:color w:val="auto"/>
          <w:sz w:val="24"/>
          <w:szCs w:val="24"/>
          <w:highlight w:val="none"/>
        </w:rPr>
        <w:t xml:space="preserve">。 </w:t>
      </w:r>
    </w:p>
    <w:p w14:paraId="140483F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关于监理人在施工现场的办公场所、生活场所的提供和费用承担的约定：</w:t>
      </w:r>
      <w:r>
        <w:rPr>
          <w:rFonts w:hint="eastAsia" w:ascii="宋体" w:hAnsi="宋体" w:eastAsia="宋体" w:cs="宋体"/>
          <w:bCs/>
          <w:color w:val="auto"/>
          <w:sz w:val="24"/>
          <w:szCs w:val="24"/>
          <w:highlight w:val="none"/>
          <w:u w:val="single"/>
          <w:lang w:val="en-US" w:eastAsia="zh-CN"/>
        </w:rPr>
        <w:t>施工方提供不少于两间办公场所</w:t>
      </w:r>
      <w:r>
        <w:rPr>
          <w:rFonts w:hint="eastAsia" w:ascii="宋体" w:hAnsi="宋体" w:eastAsia="宋体" w:cs="宋体"/>
          <w:bCs/>
          <w:color w:val="auto"/>
          <w:sz w:val="24"/>
          <w:szCs w:val="24"/>
          <w:highlight w:val="none"/>
        </w:rPr>
        <w:t>。</w:t>
      </w:r>
    </w:p>
    <w:p w14:paraId="6A6A5BB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4.2 监理人员</w:t>
      </w:r>
    </w:p>
    <w:p w14:paraId="0334781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总监理工程师：</w:t>
      </w:r>
    </w:p>
    <w:p w14:paraId="38DC519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7624C535">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C3EDDF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监理工程师执业资格证书号：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386E615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6CDC6DC7">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9E644E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74F97025">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关于监理人的其他约定：</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11A1DB9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4.4 商定或确定</w:t>
      </w:r>
    </w:p>
    <w:p w14:paraId="48805284">
      <w:pPr>
        <w:spacing w:line="360" w:lineRule="auto"/>
        <w:ind w:firstLine="480" w:firstLineChars="200"/>
        <w:rPr>
          <w:rFonts w:hint="eastAsia" w:ascii="宋体" w:hAnsi="宋体" w:eastAsia="宋体" w:cs="宋体"/>
          <w:b w:val="0"/>
          <w:bCs/>
          <w:color w:val="auto"/>
          <w:sz w:val="24"/>
        </w:rPr>
      </w:pPr>
      <w:bookmarkStart w:id="127" w:name="_Toc267251418"/>
      <w:r>
        <w:rPr>
          <w:rFonts w:hint="eastAsia" w:ascii="宋体" w:hAnsi="宋体" w:eastAsia="宋体" w:cs="宋体"/>
          <w:b w:val="0"/>
          <w:bCs/>
          <w:color w:val="auto"/>
          <w:sz w:val="24"/>
        </w:rPr>
        <w:t>在发包人和承包人不能通过协商达成一致意见时，发包人授权监理人对以下事项进行确定：</w:t>
      </w:r>
    </w:p>
    <w:p w14:paraId="7B9EA1B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工程质量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FCB677">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施工安全</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D7A0CD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D4DBFF2">
      <w:pPr>
        <w:spacing w:before="120" w:after="120" w:line="360" w:lineRule="auto"/>
        <w:jc w:val="left"/>
        <w:rPr>
          <w:rFonts w:hint="eastAsia" w:ascii="宋体" w:hAnsi="宋体" w:eastAsia="宋体" w:cs="宋体"/>
          <w:b w:val="0"/>
          <w:bCs/>
          <w:color w:val="auto"/>
          <w:sz w:val="24"/>
        </w:rPr>
      </w:pPr>
      <w:bookmarkStart w:id="128" w:name="_Toc351203637"/>
      <w:r>
        <w:rPr>
          <w:rFonts w:hint="eastAsia" w:ascii="宋体" w:hAnsi="宋体" w:eastAsia="宋体" w:cs="宋体"/>
          <w:b w:val="0"/>
          <w:bCs/>
          <w:color w:val="auto"/>
          <w:sz w:val="24"/>
        </w:rPr>
        <w:t>5</w:t>
      </w:r>
      <w:bookmarkEnd w:id="127"/>
      <w:bookmarkStart w:id="129" w:name="_Toc296891203"/>
      <w:bookmarkStart w:id="130" w:name="_Toc296890991"/>
      <w:bookmarkStart w:id="131" w:name="_Toc296503163"/>
      <w:bookmarkStart w:id="132" w:name="_Toc296347162"/>
      <w:bookmarkStart w:id="133" w:name="_Toc297048349"/>
      <w:bookmarkStart w:id="134" w:name="_Toc296944502"/>
      <w:bookmarkStart w:id="135" w:name="_Toc292559872"/>
      <w:bookmarkStart w:id="136" w:name="_Toc296346664"/>
      <w:bookmarkStart w:id="137" w:name="_Toc297120463"/>
      <w:bookmarkStart w:id="138" w:name="_Toc292559367"/>
      <w:r>
        <w:rPr>
          <w:rFonts w:hint="eastAsia" w:ascii="宋体" w:hAnsi="宋体" w:eastAsia="宋体" w:cs="宋体"/>
          <w:b w:val="0"/>
          <w:bCs/>
          <w:color w:val="auto"/>
          <w:sz w:val="24"/>
        </w:rPr>
        <w:t>. 工程质量</w:t>
      </w:r>
      <w:bookmarkEnd w:id="128"/>
    </w:p>
    <w:p w14:paraId="1F1D708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5.1 质量要求</w:t>
      </w:r>
    </w:p>
    <w:p w14:paraId="4FFBC02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w:t>
      </w:r>
      <w:bookmarkStart w:id="139" w:name="_Toc303539106"/>
      <w:bookmarkStart w:id="140" w:name="_Toc297216155"/>
      <w:bookmarkStart w:id="141" w:name="_Toc304295527"/>
      <w:bookmarkStart w:id="142" w:name="_Toc312677997"/>
      <w:bookmarkStart w:id="143" w:name="_Toc300934949"/>
      <w:bookmarkStart w:id="144" w:name="_Toc297123496"/>
      <w:bookmarkStart w:id="145" w:name="_Toc318581164"/>
      <w:r>
        <w:rPr>
          <w:rFonts w:hint="eastAsia" w:ascii="宋体" w:hAnsi="宋体" w:eastAsia="宋体" w:cs="宋体"/>
          <w:b w:val="0"/>
          <w:bCs/>
          <w:color w:val="auto"/>
          <w:sz w:val="24"/>
        </w:rPr>
        <w:t>.1.1 特殊质量标准和要求：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84A92B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关于工程奖项的约定：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161AEB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5.3 隐蔽工程检查</w:t>
      </w:r>
    </w:p>
    <w:p w14:paraId="4482CCA9">
      <w:pPr>
        <w:pStyle w:val="16"/>
        <w:spacing w:line="360" w:lineRule="auto"/>
        <w:ind w:firstLine="480" w:firstLineChars="200"/>
        <w:rPr>
          <w:rFonts w:hint="eastAsia" w:ascii="宋体" w:hAnsi="宋体" w:eastAsia="宋体" w:cs="宋体"/>
          <w:color w:val="auto"/>
          <w:sz w:val="24"/>
          <w:szCs w:val="24"/>
          <w:highlight w:val="none"/>
        </w:rPr>
      </w:pPr>
      <w:bookmarkStart w:id="146" w:name="_Toc351203638"/>
      <w:r>
        <w:rPr>
          <w:rFonts w:hint="eastAsia" w:ascii="宋体" w:hAnsi="宋体" w:eastAsia="宋体" w:cs="宋体"/>
          <w:b w:val="0"/>
          <w:bCs/>
          <w:color w:val="auto"/>
          <w:sz w:val="24"/>
          <w:szCs w:val="24"/>
          <w:highlight w:val="none"/>
          <w:lang w:eastAsia="zh-CN"/>
        </w:rPr>
        <w:t>隐蔽工程范围为：</w:t>
      </w:r>
      <w:r>
        <w:rPr>
          <w:rFonts w:hint="eastAsia" w:ascii="宋体" w:hAnsi="宋体" w:eastAsia="宋体" w:cs="宋体"/>
          <w:b w:val="0"/>
          <w:bCs/>
          <w:color w:val="auto"/>
          <w:sz w:val="24"/>
          <w:szCs w:val="24"/>
          <w:highlight w:val="none"/>
          <w:u w:val="single"/>
          <w:lang w:eastAsia="zh-CN"/>
        </w:rPr>
        <w:t>基槽、地基与基础（正负零）、主体、预埋管线</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管沟</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、分部分项检验批等。</w:t>
      </w:r>
    </w:p>
    <w:p w14:paraId="7D9FB0B4">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5.3.2承包人提前通知监理人隐蔽工程检查的期限的约定：</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共同检查前48小时书面通知监理人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4347EBDB">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监理人不能按时进行检查时，应提前</w:t>
      </w:r>
      <w:r>
        <w:rPr>
          <w:rFonts w:hint="eastAsia" w:ascii="宋体" w:hAnsi="宋体" w:eastAsia="宋体" w:cs="宋体"/>
          <w:b w:val="0"/>
          <w:bCs/>
          <w:color w:val="auto"/>
          <w:sz w:val="24"/>
          <w:szCs w:val="24"/>
          <w:highlight w:val="none"/>
          <w:u w:val="single"/>
        </w:rPr>
        <w:t xml:space="preserve"> 24  </w:t>
      </w:r>
      <w:r>
        <w:rPr>
          <w:rFonts w:hint="eastAsia" w:ascii="宋体" w:hAnsi="宋体" w:eastAsia="宋体" w:cs="宋体"/>
          <w:b w:val="0"/>
          <w:bCs/>
          <w:color w:val="auto"/>
          <w:sz w:val="24"/>
          <w:szCs w:val="24"/>
          <w:highlight w:val="none"/>
        </w:rPr>
        <w:t>小时提交书面延期要求。</w:t>
      </w:r>
    </w:p>
    <w:p w14:paraId="5E01AD02">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关于延期最长不得超过：</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12</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小时。</w:t>
      </w:r>
    </w:p>
    <w:p w14:paraId="553B6E5E">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双方约定中间验收部位：</w:t>
      </w:r>
      <w:r>
        <w:rPr>
          <w:rFonts w:hint="eastAsia" w:ascii="宋体" w:hAnsi="宋体" w:eastAsia="宋体" w:cs="宋体"/>
          <w:b w:val="0"/>
          <w:bCs/>
          <w:color w:val="auto"/>
          <w:sz w:val="24"/>
          <w:szCs w:val="24"/>
          <w:highlight w:val="none"/>
          <w:u w:val="single"/>
        </w:rPr>
        <w:t>执行《通用条款》。除按规定进行正常隐蔽工程验收外，中间验收部分为：基槽 、地基与基础（正负零）、主体结构工程、屋面工程、装饰工程、安装工程 、水、电、暖所有隐蔽工程。</w:t>
      </w:r>
    </w:p>
    <w:p w14:paraId="256E008D">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6. 安全文明施工与环境保护</w:t>
      </w:r>
      <w:bookmarkEnd w:id="146"/>
    </w:p>
    <w:p w14:paraId="328D17E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6.1安全文明施工</w:t>
      </w:r>
    </w:p>
    <w:p w14:paraId="39D27B1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6.1.1 项目安全生产的达标目标及相应事项的约定：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承包人按照国家和当地政府有关规定以及发包人有关规定应采取的任何必要安全防护措施所需价款已包含在发包人支付的合同价款当中，发包人无需另行支付。承包人对工程的安全负全面责任，包括但不限于因承包人安全措施不力而造成安全事故和人身伤亡等情形，并承担因此发生的全部费用，发包人不承担任何责任；若因此造成发包人损失或发包人被第三方索赔的，由承包人承担相关费用。本工程在整个施工期间杜绝一切人身伤亡和重大质量安全事故，如发生上述事故，则发包人视为承包人违约。其他安全要求如下： </w:t>
      </w:r>
    </w:p>
    <w:p w14:paraId="1B62A151">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承包人进场施工前，必须对其工作人员进行进场前的安全教育，认真学习相关安全规范在项目实施过程中，发包人、承包人及监理工程师将定期、不定期的依据相关规范共同对项目施工现场进行检查，若承包人违反了相关规范，承包人将承担因此造成的违约责任。发包人或监理单位检查发放的安全隐患通知单，承包人应在规定时间内整改，超期未完成整改的，每天每项扣除1000-10000 元，具体金额视情节严重程度由发包人及监理单位确定。 </w:t>
      </w:r>
    </w:p>
    <w:p w14:paraId="68B10ED5">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工程开工前，应由承包人编制施工组织设计，施工组织设计中需制订有针对性的安全技术措施及应急方案，经监理单位审批通过后，才可组织实施，且必须严格按批准的施工组织设计组织施工，需要进行专项专家论证的安全方案，由承包人组织完成并承担相应费用。 </w:t>
      </w:r>
    </w:p>
    <w:p w14:paraId="513AFB46">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（3）承包人在施工中必须严格按照安全文明施工的相关法律法规规定及要求，按照施工现场管理规定配置必备有效的消防器材及安全保障设施，对施工区域的消防及安全全面负责，并承担责任。</w:t>
      </w:r>
    </w:p>
    <w:p w14:paraId="4C0047E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 xml:space="preserve"> 6.1.3 凡本工程涉及的所有危大工程，承包人应严格按照《危险性较大的分部分项工程安全管理规定》执行。因承包人违反本规定造成损失，由承包人承担全责并赔偿全部损失</w:t>
      </w:r>
      <w:r>
        <w:rPr>
          <w:rFonts w:hint="eastAsia" w:ascii="宋体" w:hAnsi="宋体" w:eastAsia="宋体" w:cs="宋体"/>
          <w:b w:val="0"/>
          <w:bCs/>
          <w:color w:val="auto"/>
          <w:sz w:val="24"/>
        </w:rPr>
        <w:t>。</w:t>
      </w:r>
    </w:p>
    <w:p w14:paraId="74468F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6.1.4 关于治安保卫的特别约定：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除贯彻执行国家法规，还应</w:t>
      </w:r>
      <w:r>
        <w:rPr>
          <w:rFonts w:hint="eastAsia" w:ascii="宋体" w:hAnsi="宋体" w:eastAsia="宋体" w:cs="宋体"/>
          <w:b w:val="0"/>
          <w:bCs/>
          <w:color w:val="auto"/>
          <w:sz w:val="24"/>
          <w:highlight w:val="none"/>
          <w:u w:val="single"/>
          <w:lang w:val="en-US" w:eastAsia="zh-CN"/>
        </w:rPr>
        <w:t>执行富平县教育局《</w:t>
      </w:r>
      <w:r>
        <w:rPr>
          <w:rFonts w:hint="eastAsia" w:ascii="宋体" w:hAnsi="宋体" w:eastAsia="宋体" w:cs="宋体"/>
          <w:b w:val="0"/>
          <w:bCs/>
          <w:color w:val="auto"/>
          <w:sz w:val="24"/>
          <w:u w:val="single"/>
          <w:lang w:val="en-US" w:eastAsia="zh-CN"/>
        </w:rPr>
        <w:t>安全保卫工作管理制度》等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FE22FE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关于编制施工场地治安管理计划的约定：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由承包人在工程开工后 7 天内编制施工场地治安管理计划及应急预案，并报给总监理工程师及发包人，经总监理工程师及发包人批准后实施</w:t>
      </w:r>
      <w:r>
        <w:rPr>
          <w:rFonts w:hint="eastAsia" w:ascii="宋体" w:hAnsi="宋体" w:eastAsia="宋体" w:cs="宋体"/>
          <w:b w:val="0"/>
          <w:bCs/>
          <w:color w:val="auto"/>
          <w:sz w:val="24"/>
        </w:rPr>
        <w:t>。</w:t>
      </w:r>
    </w:p>
    <w:p w14:paraId="1B1C591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6.1.5 文明施工</w:t>
      </w:r>
    </w:p>
    <w:p w14:paraId="14EE6626">
      <w:pPr>
        <w:spacing w:line="360" w:lineRule="auto"/>
        <w:ind w:firstLine="480" w:firstLineChars="200"/>
        <w:jc w:val="left"/>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合同当事人对文明施工的要求：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除本合同通用条款认真履行安全施工与检查职责及做好施工中的安全防护工作外，还应认真执行国务院颁布的《建设工程安全生产管理条例》及国家和地方制定的有关安全生产法律、法规的规定，制定切实可行的安全施工措施和安全管理制度，确保本工程施工安全；承包人应按照省级文明工地要求做好施工现场安全文明施工管理，随时接受监理工程师的专项检查；承包人依法承担本工程的施工安全责任。承包人据《建筑施工企业安全管理规范》（GB50656-2011）《陕西省建设施工扬尘治理措施 16 条》及富平县教育局相关规定管理施工项目，达到《建筑工程施工现场环境与卫生标准》（JGJ146-2013）标准，若</w:t>
      </w:r>
      <w:r>
        <w:rPr>
          <w:rFonts w:hint="eastAsia" w:ascii="宋体" w:hAnsi="宋体" w:eastAsia="宋体" w:cs="宋体"/>
          <w:b w:val="0"/>
          <w:bCs/>
          <w:color w:val="auto"/>
          <w:sz w:val="24"/>
          <w:highlight w:val="none"/>
          <w:u w:val="single"/>
          <w:lang w:val="en-US" w:eastAsia="zh-CN"/>
        </w:rPr>
        <w:t xml:space="preserve">在富平县教育局相关部门检查 过程中，出现违反安全文明施工情况的，依据富平县教育局相关制度处罚，罚款从合同款中扣除。承包人至少应实施的安全防护、文明施工措施按如下要求： </w:t>
      </w:r>
    </w:p>
    <w:p w14:paraId="6E650D0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1、文明施工与环境保护 </w:t>
      </w:r>
    </w:p>
    <w:p w14:paraId="2A4F56C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1）安全警示标志牌：在易发伤亡事故（或危险）处设置明显的、符合国家标准要求的安全警示标志牌 </w:t>
      </w:r>
    </w:p>
    <w:p w14:paraId="3F05C37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2）现场围挡：（1）现场采用封闭围挡，高度不小于1.8 m；（2）围挡材料可采用彩色、定型钢板，砖、砼砌块等墙体。 </w:t>
      </w:r>
    </w:p>
    <w:p w14:paraId="377629C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3）五板一图：在进门处悬挂工程概况、管理人员名单及监督电话、安全生产、文明施工、消防 保卫五板；施工现场总平面图。 </w:t>
      </w:r>
    </w:p>
    <w:p w14:paraId="765E0F4A">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4）企业标志：现场出入的大门应设有本企业标识或企业标识 </w:t>
      </w:r>
    </w:p>
    <w:p w14:paraId="035631E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5）场容场貌：（1）道路畅通；（2）排水沟、排水设施通畅；（3）工地地面硬化处理；（4）绿化。 </w:t>
      </w:r>
    </w:p>
    <w:p w14:paraId="12D1319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6）材料堆放：（1）材料、构件、料具等堆放时，悬挂有名称、品种、规格等标牌；（2）水泥 和其他易飞扬细颗粒建筑材料应密闭存放或采取覆盖等措施；（3）易燃、易爆和有毒有害物品分类存放。 </w:t>
      </w:r>
    </w:p>
    <w:p w14:paraId="5D1EA5A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7）现场防火：消防器材配置合理，符合消防要求，在火灾易发地区（如木工房等）施工或存储使用易燃器材时，应采取特殊消防安全措施，作业现场严禁吸烟，若在指定区域外发现烟头，每个罚款 100 元/个。 </w:t>
      </w:r>
    </w:p>
    <w:p w14:paraId="521D12C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8）垃圾清运：施工现场应设置密闭式垃圾站，施工垃圾、生活垃圾应分类存放。施工垃圾必须采用相应容器或管道运输。 </w:t>
      </w:r>
    </w:p>
    <w:p w14:paraId="5F9DABD4">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2、临时设施 </w:t>
      </w:r>
    </w:p>
    <w:p w14:paraId="0610D60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1）现场办公、生活设施 （1）施工现场办公、生活区与作业区分开设置，保持安全距离。 （2）工地办公室、现场宿舍、食堂、厕所、饮水、休息场所符合卫生和安全要求。 </w:t>
      </w:r>
    </w:p>
    <w:p w14:paraId="74B6608A">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2）施工现场临时用电： </w:t>
      </w:r>
    </w:p>
    <w:p w14:paraId="532216D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配电线路：（1）按照 TN-S 系统要求配备五芯电缆、四芯电缆和三芯电缆；（2）按要求架设临时用电线路的电杆、横担、瓷夹、瓷瓶等，或电缆埋地的地沟。（3）对靠近施工现场的外电线路，设置木质、塑料等绝缘体的防护设施。 </w:t>
      </w:r>
    </w:p>
    <w:p w14:paraId="1A553D7D">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配电箱、开关箱：（1）按三级配电要求，配备总配电箱、分配电箱、开关箱三类标准电箱。开关箱应符合一机、 一箱、一闸、一漏。三类电箱中的各类电器应是合格品；（2）按两级保护的要求，选取符合容量要求和质量合格的总配电箱和开关箱中的漏电保护器。 接地保护装置：施工现场保护零钱的重复接地应不少于三处。 </w:t>
      </w:r>
    </w:p>
    <w:p w14:paraId="008C1F9F">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3、安全施工 ：临边洞口交叉高处作业防护： </w:t>
      </w:r>
    </w:p>
    <w:p w14:paraId="6E50E32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1）楼板、屋面等临边防护：用密目式安全立网全封闭，作业层另加两边防护栏杆和 18cm 高的踢脚板。 </w:t>
      </w:r>
    </w:p>
    <w:p w14:paraId="0782D0F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2）通道口防护：设防护棚，防护棚应为不小于 5cm 厚的木板或两道相距 50cm 的竹笆。两侧应沿栏杆架用密目式安全网封闭。 </w:t>
      </w:r>
    </w:p>
    <w:p w14:paraId="14E023B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3）预留洞口防护：用木板全封闭；短边超过 1.5m 长的洞口，除封闭外四周还应设有防护栏杆。 </w:t>
      </w:r>
    </w:p>
    <w:p w14:paraId="580EE88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4）楼梯边防护：设 1.2m 高的定型化、工具化、标准化的防护栏杆，18cm 高的踢脚板。 </w:t>
      </w:r>
    </w:p>
    <w:p w14:paraId="118E50EA">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5）垂直方向交叉作业防护：设置防护隔离棚或其他设施。 </w:t>
      </w:r>
    </w:p>
    <w:p w14:paraId="5039E6B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6）高空作业防护：有悬挂安全带的悬索或其他设施；有操作平台；有上下的梯子或其他形式的 通道。 </w:t>
      </w:r>
    </w:p>
    <w:p w14:paraId="773EF82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注：上列建筑工程安全防护、文明施工措施项目，是依据国家现行法律法规及标准规范确定的， 如不齐全，发包人有权进行补充；如修订法律法规和标准规范，上述所列项目应按照修订后的法律法规和标准规范进行调整 。 </w:t>
      </w:r>
    </w:p>
    <w:p w14:paraId="0E3CDAC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4、防尘减霾 </w:t>
      </w:r>
    </w:p>
    <w:p w14:paraId="2DB7B6F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按照建设行政主管部门和相关部门的规定制定扬尘治理专项措施并予以实施，承包人应建立施工扬尘治理责任制，针对工程项目特点制定具体的扬尘治理实施方案，并在工地公示治理措施、责任人、主管部门等信息。 </w:t>
      </w:r>
    </w:p>
    <w:p w14:paraId="048EA68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承包人至少应实施的扬尘治理措施如下： </w:t>
      </w:r>
    </w:p>
    <w:p w14:paraId="52DEE6C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1）进出口地面和场地内主要道路结合规划总平面图道路和车辆荷载设置工地进出口道路进行硬化处理。施工现场周边设置硬质围挡；绿化并保证清洁；施工期间，政府有关部门要求安装（或 要求增设的）洗车设备（多台）、降尘喷雾设备、扬尘监测设备等；设置冲洗车辆设备，排水沟、 沉淀池及麻袋，防治泥土随车辆，行人带出工地。 </w:t>
      </w:r>
    </w:p>
    <w:p w14:paraId="26ACB501">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2）施工运输车辆、挖掘机械等使出工地前必须清除泥土作防尘处理，严禁将泥土、尘土带出工地。 </w:t>
      </w:r>
    </w:p>
    <w:p w14:paraId="3E11E4F1">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3）运输砂、石、水泥、土方、垃圾等易产生扬尘污染的车辆，进出施工现场必须封闭，严禁撒 漏。 </w:t>
      </w:r>
    </w:p>
    <w:p w14:paraId="4461635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4）清扫地面必须洒水、运输建筑垃圾加盖，松散材料堆放盖彩条布，以免粉尘弥漫，污染环境，严禁现场焚烧各类废弃物。 </w:t>
      </w:r>
    </w:p>
    <w:p w14:paraId="3260A92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 xml:space="preserve">5）临时堆放的土方采取彩条布覆盖措施，以防尘土飞扬 </w:t>
      </w:r>
      <w:r>
        <w:rPr>
          <w:rFonts w:hint="eastAsia" w:ascii="宋体" w:hAnsi="宋体" w:eastAsia="宋体" w:cs="宋体"/>
          <w:b w:val="0"/>
          <w:bCs/>
          <w:color w:val="auto"/>
          <w:sz w:val="24"/>
        </w:rPr>
        <w:t>。</w:t>
      </w:r>
    </w:p>
    <w:p w14:paraId="66F42818">
      <w:pPr>
        <w:spacing w:line="360" w:lineRule="auto"/>
        <w:ind w:firstLine="480" w:firstLineChars="200"/>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严格遵守渭南市有关“治污减霾”和城市管理的相关要求。承包人若对该事项处理不当，则应自行承担相应的行政处罚和法律责任。以上所需费用由承包人承担，且承包人在投标报价时已充分考虑并已计入了签约合同价内。</w:t>
      </w:r>
    </w:p>
    <w:p w14:paraId="698223C6">
      <w:pPr>
        <w:spacing w:line="360" w:lineRule="auto"/>
        <w:ind w:firstLine="480" w:firstLineChars="200"/>
        <w:rPr>
          <w:rFonts w:hint="eastAsia" w:ascii="宋体" w:hAnsi="宋体" w:eastAsia="宋体" w:cs="宋体"/>
          <w:b w:val="0"/>
          <w:bCs/>
          <w:color w:val="auto"/>
          <w:kern w:val="2"/>
          <w:sz w:val="24"/>
          <w:szCs w:val="24"/>
          <w:u w:val="single"/>
        </w:rPr>
      </w:pPr>
      <w:r>
        <w:rPr>
          <w:rFonts w:hint="eastAsia" w:ascii="宋体" w:hAnsi="宋体" w:eastAsia="宋体" w:cs="宋体"/>
          <w:b w:val="0"/>
          <w:bCs/>
          <w:color w:val="auto"/>
          <w:sz w:val="24"/>
        </w:rPr>
        <w:t>6.1.6 关于安全文明施工费支付比例和支付期限的约定：</w:t>
      </w:r>
      <w:r>
        <w:rPr>
          <w:rFonts w:hint="eastAsia" w:ascii="宋体" w:hAnsi="宋体" w:eastAsia="宋体" w:cs="宋体"/>
          <w:bCs/>
          <w:color w:val="auto"/>
          <w:sz w:val="24"/>
          <w:szCs w:val="24"/>
          <w:u w:val="single"/>
        </w:rPr>
        <w:t>随工程进度款的支付同时支付</w:t>
      </w:r>
      <w:r>
        <w:rPr>
          <w:rFonts w:hint="eastAsia" w:ascii="宋体" w:hAnsi="宋体" w:eastAsia="宋体" w:cs="宋体"/>
          <w:bCs/>
          <w:color w:val="auto"/>
          <w:sz w:val="24"/>
          <w:szCs w:val="24"/>
        </w:rPr>
        <w:t>。</w:t>
      </w:r>
    </w:p>
    <w:bookmarkEnd w:id="139"/>
    <w:bookmarkEnd w:id="140"/>
    <w:bookmarkEnd w:id="141"/>
    <w:bookmarkEnd w:id="142"/>
    <w:bookmarkEnd w:id="143"/>
    <w:bookmarkEnd w:id="144"/>
    <w:bookmarkEnd w:id="145"/>
    <w:p w14:paraId="157E6608">
      <w:pPr>
        <w:spacing w:before="120" w:after="120" w:line="360" w:lineRule="auto"/>
        <w:ind w:firstLine="480" w:firstLineChars="200"/>
        <w:jc w:val="left"/>
        <w:rPr>
          <w:rFonts w:hint="eastAsia" w:ascii="宋体" w:hAnsi="宋体" w:eastAsia="宋体" w:cs="宋体"/>
          <w:b w:val="0"/>
          <w:bCs/>
          <w:color w:val="auto"/>
          <w:sz w:val="24"/>
        </w:rPr>
      </w:pPr>
      <w:bookmarkStart w:id="147" w:name="_Toc351203639"/>
      <w:r>
        <w:rPr>
          <w:rFonts w:hint="eastAsia" w:ascii="宋体" w:hAnsi="宋体" w:eastAsia="宋体" w:cs="宋体"/>
          <w:b w:val="0"/>
          <w:bCs/>
          <w:color w:val="auto"/>
          <w:sz w:val="24"/>
        </w:rPr>
        <w:t>7. 工期和进度</w:t>
      </w:r>
      <w:bookmarkEnd w:id="147"/>
    </w:p>
    <w:p w14:paraId="7710475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7.1 施工组织设计</w:t>
      </w:r>
    </w:p>
    <w:p w14:paraId="516C86CC">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7.1.1 合同当事人约定的施工组织设计应包括的其他内容：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约定，</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无约定的按通用条款</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31A1DA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7.1.2 施工组织设计的提交和修改</w:t>
      </w:r>
    </w:p>
    <w:p w14:paraId="028DCE5E">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承包人提交详细施工组织设计的期限的约定：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应在本合同签订后七日内向总监理工程师提交施工组织设计（或施工方案）和进度计划和双代号网络进度计划，主要材料采购计划，专项施工方案应不迟于该专项工程施工前七日提交发包人代表。以上资料未按期提供，每延期一天扣违约金500元</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63E58E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发包人和监理人在收到详细的施工组织设计后确认或提出修改意见的期限：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总监理工程师应在收到承包人提交的施工组织设计（或施工方案）、专项施工方案后七日内，予以确认或提出修改意见，不确认也不提出书面意见的，视为同意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7066C3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48" w:name="_Toc300934966"/>
      <w:bookmarkStart w:id="149" w:name="_Toc304295541"/>
      <w:bookmarkStart w:id="150" w:name="_Toc303539123"/>
      <w:bookmarkStart w:id="151" w:name="_Toc297216173"/>
      <w:bookmarkStart w:id="152" w:name="_Toc312677479"/>
      <w:bookmarkStart w:id="153" w:name="_Toc312678005"/>
      <w:bookmarkStart w:id="154" w:name="_Toc297123514"/>
      <w:r>
        <w:rPr>
          <w:rFonts w:hint="eastAsia" w:ascii="宋体" w:hAnsi="宋体" w:eastAsia="宋体" w:cs="宋体"/>
          <w:b w:val="0"/>
          <w:bCs/>
          <w:color w:val="auto"/>
          <w:sz w:val="24"/>
        </w:rPr>
        <w:t>.2 施工进度计划</w:t>
      </w:r>
    </w:p>
    <w:p w14:paraId="0FC6362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7.2.2 施工进度计划的修订</w:t>
      </w:r>
    </w:p>
    <w:p w14:paraId="530283E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发包人和监理人在收到修订的施工进度计划后确认或提出修改意见的期限：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收到后5天内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37486E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7.3 开工</w:t>
      </w:r>
    </w:p>
    <w:p w14:paraId="1ADDCFB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7.3.1 开工准备</w:t>
      </w:r>
    </w:p>
    <w:p w14:paraId="5C8AE595">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关于承包人提交工程开工报审表的期限：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8FAEFB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施工区域内建筑物管线、苗木拆除、移位，计划开工日期前 7 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053586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关于承包人应完成的其他开工准备工作及期限：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配合发包人办理安全生产备案及施工许可证，及时提供所需资料，通知后7天提供</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BB8D41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7.3.2开工通知</w:t>
      </w:r>
    </w:p>
    <w:p w14:paraId="6799242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因发包人原因造成监理人未能在计划开工日期之日起</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天内发出开工通知的，承包人有权提出价格调整要求，或者解除合同。</w:t>
      </w:r>
    </w:p>
    <w:bookmarkEnd w:id="148"/>
    <w:bookmarkEnd w:id="149"/>
    <w:bookmarkEnd w:id="150"/>
    <w:bookmarkEnd w:id="151"/>
    <w:bookmarkEnd w:id="152"/>
    <w:bookmarkEnd w:id="153"/>
    <w:bookmarkEnd w:id="154"/>
    <w:p w14:paraId="786AD12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7.4 测量放线</w:t>
      </w:r>
    </w:p>
    <w:p w14:paraId="53ED8D3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7.4.1发包人通过监理人向承包人提供测量基准点、基准线和水准点及其书面资料的期限：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14388F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55" w:name="_Toc312677484"/>
      <w:bookmarkStart w:id="156" w:name="_Toc297216175"/>
      <w:bookmarkStart w:id="157" w:name="_Toc300934968"/>
      <w:bookmarkStart w:id="158" w:name="_Toc312678010"/>
      <w:bookmarkStart w:id="159" w:name="_Toc303539125"/>
      <w:bookmarkStart w:id="160" w:name="_Toc297123516"/>
      <w:bookmarkStart w:id="161" w:name="_Toc304295546"/>
      <w:r>
        <w:rPr>
          <w:rFonts w:hint="eastAsia" w:ascii="宋体" w:hAnsi="宋体" w:eastAsia="宋体" w:cs="宋体"/>
          <w:b w:val="0"/>
          <w:bCs/>
          <w:color w:val="auto"/>
          <w:sz w:val="24"/>
        </w:rPr>
        <w:t>.5 工期延误</w:t>
      </w:r>
    </w:p>
    <w:bookmarkEnd w:id="155"/>
    <w:bookmarkEnd w:id="156"/>
    <w:bookmarkEnd w:id="157"/>
    <w:bookmarkEnd w:id="158"/>
    <w:bookmarkEnd w:id="159"/>
    <w:bookmarkEnd w:id="160"/>
    <w:bookmarkEnd w:id="161"/>
    <w:p w14:paraId="0A06123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7.5.1 因发包人原因导致工期延误</w:t>
      </w:r>
    </w:p>
    <w:p w14:paraId="1F915ACD">
      <w:pPr>
        <w:snapToGrid w:val="0"/>
        <w:spacing w:line="360" w:lineRule="auto"/>
        <w:ind w:firstLine="480"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rPr>
        <w:t>（7）因发包人原因导致工期延误的其他情形：</w:t>
      </w:r>
      <w:r>
        <w:rPr>
          <w:rFonts w:hint="eastAsia" w:ascii="宋体" w:hAnsi="宋体" w:eastAsia="宋体" w:cs="宋体"/>
          <w:bCs/>
          <w:color w:val="auto"/>
          <w:sz w:val="24"/>
          <w:szCs w:val="24"/>
          <w:u w:val="single"/>
        </w:rPr>
        <w:t xml:space="preserve"> ①重大设计变更而影响施工进度；②政策处理问题影响施工进度；③不可抗力，此延误工期须在发现后七天内办理签证，逾期不予认可。</w:t>
      </w:r>
      <w:r>
        <w:rPr>
          <w:rFonts w:hint="eastAsia" w:ascii="宋体" w:hAnsi="宋体" w:cs="宋体"/>
          <w:bCs/>
          <w:color w:val="auto"/>
          <w:sz w:val="24"/>
          <w:szCs w:val="24"/>
          <w:u w:val="single"/>
        </w:rPr>
        <w:t>④以上三种原因引起的工期延误，施工单位在7天内办理签证，工期相应顺延。</w:t>
      </w:r>
    </w:p>
    <w:p w14:paraId="3580BDD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62" w:name="_Toc318581169"/>
      <w:bookmarkStart w:id="163" w:name="_Toc312677486"/>
      <w:bookmarkStart w:id="164" w:name="_Toc312678012"/>
      <w:bookmarkStart w:id="165" w:name="_Toc297123518"/>
      <w:bookmarkStart w:id="166" w:name="_Toc300934970"/>
      <w:bookmarkStart w:id="167" w:name="_Toc303539127"/>
      <w:bookmarkStart w:id="168" w:name="_Toc297216177"/>
      <w:bookmarkStart w:id="169" w:name="_Toc304295548"/>
      <w:r>
        <w:rPr>
          <w:rFonts w:hint="eastAsia" w:ascii="宋体" w:hAnsi="宋体" w:eastAsia="宋体" w:cs="宋体"/>
          <w:b w:val="0"/>
          <w:bCs/>
          <w:color w:val="auto"/>
          <w:sz w:val="24"/>
        </w:rPr>
        <w:t>.5.2 因承包人原因导致工期延误</w:t>
      </w:r>
    </w:p>
    <w:bookmarkEnd w:id="162"/>
    <w:bookmarkEnd w:id="163"/>
    <w:bookmarkEnd w:id="164"/>
    <w:p w14:paraId="2F43CBD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w:t>
      </w:r>
      <w:bookmarkStart w:id="170" w:name="_Toc312677487"/>
      <w:bookmarkStart w:id="171" w:name="_Toc312678013"/>
      <w:bookmarkStart w:id="172" w:name="_Toc318581170"/>
      <w:r>
        <w:rPr>
          <w:rFonts w:hint="eastAsia" w:ascii="宋体" w:hAnsi="宋体" w:eastAsia="宋体" w:cs="宋体"/>
          <w:b w:val="0"/>
          <w:bCs/>
          <w:color w:val="auto"/>
          <w:sz w:val="24"/>
        </w:rPr>
        <w:t>承包人原因造成工期延误，逾期竣工违约金的计算方法为</w:t>
      </w:r>
      <w:r>
        <w:rPr>
          <w:rFonts w:hint="eastAsia" w:ascii="宋体" w:hAnsi="宋体" w:eastAsia="宋体" w:cs="宋体"/>
          <w:b w:val="0"/>
          <w:bCs/>
          <w:color w:val="auto"/>
          <w:sz w:val="24"/>
          <w:highlight w:val="none"/>
        </w:rPr>
        <w:t>：</w:t>
      </w:r>
      <w:r>
        <w:rPr>
          <w:rFonts w:hint="eastAsia" w:ascii="宋体" w:hAnsi="宋体" w:eastAsia="宋体" w:cs="宋体"/>
          <w:b w:val="0"/>
          <w:bCs/>
          <w:color w:val="auto"/>
          <w:kern w:val="2"/>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rPr>
        <w:t>。</w:t>
      </w:r>
      <w:bookmarkEnd w:id="165"/>
      <w:bookmarkEnd w:id="166"/>
      <w:bookmarkEnd w:id="167"/>
      <w:bookmarkEnd w:id="168"/>
      <w:bookmarkEnd w:id="169"/>
      <w:bookmarkEnd w:id="170"/>
      <w:bookmarkEnd w:id="171"/>
    </w:p>
    <w:bookmarkEnd w:id="172"/>
    <w:p w14:paraId="6914FCBC">
      <w:pPr>
        <w:snapToGrid w:val="0"/>
        <w:spacing w:line="360" w:lineRule="auto"/>
        <w:ind w:firstLine="480" w:firstLineChars="200"/>
        <w:jc w:val="left"/>
        <w:rPr>
          <w:rFonts w:ascii="宋体" w:hAnsi="宋体" w:eastAsia="宋体" w:cs="宋体"/>
          <w:bCs/>
          <w:color w:val="auto"/>
        </w:rPr>
      </w:pPr>
      <w:r>
        <w:rPr>
          <w:rFonts w:hint="eastAsia" w:ascii="宋体" w:hAnsi="宋体" w:eastAsia="宋体" w:cs="宋体"/>
          <w:b w:val="0"/>
          <w:bCs/>
          <w:color w:val="auto"/>
          <w:sz w:val="24"/>
        </w:rPr>
        <w:t>因承包人原因造成工期延误，逾</w:t>
      </w:r>
      <w:bookmarkStart w:id="173" w:name="_Toc318581171"/>
      <w:bookmarkStart w:id="174" w:name="_Toc312678014"/>
      <w:r>
        <w:rPr>
          <w:rFonts w:hint="eastAsia" w:ascii="宋体" w:hAnsi="宋体" w:eastAsia="宋体" w:cs="宋体"/>
          <w:b w:val="0"/>
          <w:bCs/>
          <w:color w:val="auto"/>
          <w:sz w:val="24"/>
        </w:rPr>
        <w:t>期竣工违约金的上限：</w:t>
      </w:r>
      <w:r>
        <w:rPr>
          <w:rFonts w:hint="eastAsia" w:ascii="宋体" w:hAnsi="宋体" w:eastAsia="宋体" w:cs="宋体"/>
          <w:bCs/>
          <w:color w:val="auto"/>
          <w:sz w:val="24"/>
          <w:szCs w:val="24"/>
          <w:u w:val="single"/>
        </w:rPr>
        <w:t>总额不超过合同价款的5</w:t>
      </w:r>
      <w:r>
        <w:rPr>
          <w:rFonts w:hint="default" w:ascii="Arial" w:hAnsi="Arial" w:eastAsia="宋体" w:cs="Arial"/>
          <w:bCs/>
          <w:color w:val="auto"/>
          <w:sz w:val="24"/>
          <w:szCs w:val="24"/>
          <w:u w:val="single"/>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bookmarkEnd w:id="173"/>
    <w:bookmarkEnd w:id="174"/>
    <w:p w14:paraId="180F7F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75" w:name="_Toc300934971"/>
      <w:bookmarkStart w:id="176" w:name="_Toc304295549"/>
      <w:bookmarkStart w:id="177" w:name="_Toc297216178"/>
      <w:bookmarkStart w:id="178" w:name="_Toc297123519"/>
      <w:bookmarkStart w:id="179" w:name="_Toc303539128"/>
      <w:bookmarkStart w:id="180" w:name="_Toc312678015"/>
      <w:r>
        <w:rPr>
          <w:rFonts w:hint="eastAsia" w:ascii="宋体" w:hAnsi="宋体" w:eastAsia="宋体" w:cs="宋体"/>
          <w:b w:val="0"/>
          <w:bCs/>
          <w:color w:val="auto"/>
          <w:sz w:val="24"/>
        </w:rPr>
        <w:t>.6 不</w:t>
      </w:r>
      <w:bookmarkEnd w:id="175"/>
      <w:bookmarkEnd w:id="176"/>
      <w:bookmarkEnd w:id="177"/>
      <w:bookmarkEnd w:id="178"/>
      <w:bookmarkEnd w:id="179"/>
      <w:bookmarkEnd w:id="180"/>
      <w:r>
        <w:rPr>
          <w:rFonts w:hint="eastAsia" w:ascii="宋体" w:hAnsi="宋体" w:eastAsia="宋体" w:cs="宋体"/>
          <w:b w:val="0"/>
          <w:bCs/>
          <w:color w:val="auto"/>
          <w:sz w:val="24"/>
        </w:rPr>
        <w:t>利物质条件</w:t>
      </w:r>
    </w:p>
    <w:p w14:paraId="2B53D41F">
      <w:pPr>
        <w:spacing w:line="360" w:lineRule="auto"/>
        <w:ind w:firstLine="480" w:firstLineChars="200"/>
        <w:jc w:val="left"/>
        <w:rPr>
          <w:rFonts w:hint="eastAsia" w:ascii="宋体" w:hAnsi="宋体" w:eastAsia="宋体" w:cs="宋体"/>
          <w:b w:val="0"/>
          <w:bCs/>
          <w:color w:val="auto"/>
          <w:sz w:val="24"/>
        </w:rPr>
      </w:pPr>
      <w:bookmarkStart w:id="181" w:name="_Toc303539129"/>
      <w:bookmarkStart w:id="182" w:name="_Toc304295550"/>
      <w:bookmarkStart w:id="183" w:name="_Toc297123520"/>
      <w:bookmarkStart w:id="184" w:name="_Toc297216179"/>
      <w:bookmarkStart w:id="185" w:name="_Toc312678016"/>
      <w:bookmarkStart w:id="186" w:name="_Toc300934972"/>
      <w:bookmarkStart w:id="187" w:name="_Toc318581172"/>
      <w:r>
        <w:rPr>
          <w:rFonts w:hint="eastAsia" w:ascii="宋体" w:hAnsi="宋体" w:eastAsia="宋体" w:cs="宋体"/>
          <w:b w:val="0"/>
          <w:bCs/>
          <w:color w:val="auto"/>
          <w:sz w:val="24"/>
        </w:rPr>
        <w:t>不利物质条件的其他情形和有关约定：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181"/>
    <w:bookmarkEnd w:id="182"/>
    <w:bookmarkEnd w:id="183"/>
    <w:bookmarkEnd w:id="184"/>
    <w:bookmarkEnd w:id="185"/>
    <w:bookmarkEnd w:id="186"/>
    <w:bookmarkEnd w:id="187"/>
    <w:p w14:paraId="0F94C7C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88" w:name="_Toc300934973"/>
      <w:bookmarkStart w:id="189" w:name="_Toc312678017"/>
      <w:bookmarkStart w:id="190" w:name="_Toc304295551"/>
      <w:bookmarkStart w:id="191" w:name="_Toc297216180"/>
      <w:bookmarkStart w:id="192" w:name="_Toc303539130"/>
      <w:bookmarkStart w:id="193" w:name="_Toc297123521"/>
      <w:r>
        <w:rPr>
          <w:rFonts w:hint="eastAsia" w:ascii="宋体" w:hAnsi="宋体" w:eastAsia="宋体" w:cs="宋体"/>
          <w:b w:val="0"/>
          <w:bCs/>
          <w:color w:val="auto"/>
          <w:sz w:val="24"/>
        </w:rPr>
        <w:t>.7异常恶劣的气候条件</w:t>
      </w:r>
    </w:p>
    <w:bookmarkEnd w:id="188"/>
    <w:bookmarkEnd w:id="189"/>
    <w:bookmarkEnd w:id="190"/>
    <w:bookmarkEnd w:id="191"/>
    <w:bookmarkEnd w:id="192"/>
    <w:bookmarkEnd w:id="193"/>
    <w:p w14:paraId="7DD7BF3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发包人和承包人同意以下情形视为异常恶劣的气候条件：</w:t>
      </w:r>
    </w:p>
    <w:p w14:paraId="419A0253">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风速达到8级以上10级以内的台风     </w:t>
      </w:r>
      <w:r>
        <w:rPr>
          <w:rFonts w:hint="eastAsia" w:ascii="宋体" w:hAnsi="宋体" w:eastAsia="宋体" w:cs="宋体"/>
          <w:b w:val="0"/>
          <w:bCs/>
          <w:color w:val="auto"/>
          <w:sz w:val="24"/>
        </w:rPr>
        <w:t>；</w:t>
      </w:r>
    </w:p>
    <w:p w14:paraId="68D9E97D">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24小时内降雨量大于250mm的特大暴雨  </w:t>
      </w:r>
      <w:r>
        <w:rPr>
          <w:rFonts w:hint="eastAsia" w:ascii="宋体" w:hAnsi="宋体" w:eastAsia="宋体" w:cs="宋体"/>
          <w:b w:val="0"/>
          <w:bCs/>
          <w:color w:val="auto"/>
          <w:sz w:val="24"/>
        </w:rPr>
        <w:t>；</w:t>
      </w:r>
    </w:p>
    <w:p w14:paraId="38272D7F">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日气温超过42℃或低于-10℃           </w:t>
      </w:r>
      <w:r>
        <w:rPr>
          <w:rFonts w:hint="eastAsia" w:ascii="宋体" w:hAnsi="宋体" w:eastAsia="宋体" w:cs="宋体"/>
          <w:b w:val="0"/>
          <w:bCs/>
          <w:color w:val="auto"/>
          <w:sz w:val="24"/>
        </w:rPr>
        <w:t>。</w:t>
      </w:r>
    </w:p>
    <w:p w14:paraId="7EEA65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7.9 提前竣工的奖励</w:t>
      </w:r>
    </w:p>
    <w:p w14:paraId="1E4EF92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7.9.2提前竣工的奖励：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01A4EFE">
      <w:pPr>
        <w:spacing w:before="120" w:after="120" w:line="360" w:lineRule="auto"/>
        <w:rPr>
          <w:rFonts w:hint="eastAsia" w:ascii="宋体" w:hAnsi="宋体" w:eastAsia="宋体" w:cs="宋体"/>
          <w:b w:val="0"/>
          <w:bCs/>
          <w:color w:val="auto"/>
          <w:sz w:val="24"/>
        </w:rPr>
      </w:pPr>
      <w:bookmarkStart w:id="194" w:name="_Toc351203640"/>
      <w:r>
        <w:rPr>
          <w:rFonts w:hint="eastAsia" w:ascii="宋体" w:hAnsi="宋体" w:eastAsia="宋体" w:cs="宋体"/>
          <w:b w:val="0"/>
          <w:bCs/>
          <w:color w:val="auto"/>
          <w:sz w:val="24"/>
        </w:rPr>
        <w:t>8. 材料与设备</w:t>
      </w:r>
      <w:bookmarkEnd w:id="194"/>
    </w:p>
    <w:bookmarkEnd w:id="129"/>
    <w:bookmarkEnd w:id="130"/>
    <w:bookmarkEnd w:id="131"/>
    <w:bookmarkEnd w:id="132"/>
    <w:bookmarkEnd w:id="133"/>
    <w:bookmarkEnd w:id="134"/>
    <w:bookmarkEnd w:id="135"/>
    <w:bookmarkEnd w:id="136"/>
    <w:bookmarkEnd w:id="137"/>
    <w:bookmarkEnd w:id="138"/>
    <w:p w14:paraId="6B2A28B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195" w:name="_Toc304295556"/>
      <w:bookmarkStart w:id="196" w:name="_Toc303539136"/>
      <w:bookmarkStart w:id="197" w:name="_Toc296346668"/>
      <w:bookmarkStart w:id="198" w:name="_Toc312677493"/>
      <w:bookmarkStart w:id="199" w:name="_Toc297120467"/>
      <w:bookmarkStart w:id="200" w:name="_Toc292559372"/>
      <w:bookmarkStart w:id="201" w:name="_Toc296944506"/>
      <w:bookmarkStart w:id="202" w:name="_Toc292559877"/>
      <w:bookmarkStart w:id="203" w:name="_Toc296503167"/>
      <w:bookmarkStart w:id="204" w:name="_Toc300934979"/>
      <w:bookmarkStart w:id="205" w:name="_Toc297048353"/>
      <w:bookmarkStart w:id="206" w:name="_Toc297123527"/>
      <w:bookmarkStart w:id="207" w:name="_Toc296890995"/>
      <w:bookmarkStart w:id="208" w:name="_Toc312678019"/>
      <w:bookmarkStart w:id="209" w:name="_Toc280868654"/>
      <w:bookmarkStart w:id="210" w:name="_Toc296891207"/>
      <w:bookmarkStart w:id="211" w:name="_Toc297216186"/>
      <w:bookmarkStart w:id="212" w:name="_Toc296347166"/>
      <w:bookmarkStart w:id="213" w:name="_Toc267251424"/>
      <w:bookmarkStart w:id="214" w:name="_Toc280868656"/>
      <w:bookmarkStart w:id="215" w:name="_Toc280868655"/>
      <w:r>
        <w:rPr>
          <w:rFonts w:hint="eastAsia" w:ascii="宋体" w:hAnsi="宋体" w:eastAsia="宋体" w:cs="宋体"/>
          <w:b w:val="0"/>
          <w:bCs/>
          <w:color w:val="auto"/>
          <w:sz w:val="24"/>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06C17F3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216" w:name="_Toc292559373"/>
      <w:bookmarkStart w:id="217" w:name="_Toc292559878"/>
      <w:bookmarkStart w:id="218" w:name="_Toc296347167"/>
      <w:bookmarkStart w:id="219" w:name="_Toc300934980"/>
      <w:bookmarkStart w:id="220" w:name="_Toc296503168"/>
      <w:bookmarkStart w:id="221" w:name="_Toc297120468"/>
      <w:bookmarkStart w:id="222" w:name="_Toc303539137"/>
      <w:bookmarkStart w:id="223" w:name="_Toc296891208"/>
      <w:bookmarkStart w:id="224" w:name="_Toc296944507"/>
      <w:bookmarkStart w:id="225" w:name="_Toc296346669"/>
      <w:bookmarkStart w:id="226" w:name="_Toc297123528"/>
      <w:bookmarkStart w:id="227" w:name="_Toc312677494"/>
      <w:bookmarkStart w:id="228" w:name="_Toc304295557"/>
      <w:bookmarkStart w:id="229" w:name="_Toc318581173"/>
      <w:bookmarkStart w:id="230" w:name="_Toc312678020"/>
      <w:bookmarkStart w:id="231" w:name="_Toc297048354"/>
      <w:bookmarkStart w:id="232" w:name="_Toc297216187"/>
      <w:bookmarkStart w:id="233" w:name="_Toc296890996"/>
      <w:r>
        <w:rPr>
          <w:rFonts w:hint="eastAsia" w:ascii="宋体" w:hAnsi="宋体" w:eastAsia="宋体" w:cs="宋体"/>
          <w:b w:val="0"/>
          <w:bCs/>
          <w:color w:val="auto"/>
          <w:sz w:val="24"/>
        </w:rPr>
        <w:t>.4.1发包人供应的材料设备的保管费用的承担：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bookmarkEnd w:id="216"/>
      <w:bookmarkEnd w:id="217"/>
    </w:p>
    <w:p w14:paraId="0E566AA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none"/>
          <w:lang w:val="en-US" w:eastAsia="zh-CN"/>
        </w:rPr>
      </w:pPr>
      <w:r>
        <w:rPr>
          <w:rFonts w:hint="eastAsia" w:ascii="宋体" w:hAnsi="宋体" w:eastAsia="宋体" w:cs="宋体"/>
          <w:b w:val="0"/>
          <w:bCs/>
          <w:color w:val="auto"/>
          <w:sz w:val="24"/>
          <w:szCs w:val="24"/>
          <w:highlight w:val="none"/>
          <w:u w:val="none"/>
          <w:lang w:val="en-US" w:eastAsia="zh-CN"/>
        </w:rPr>
        <w:t xml:space="preserve">8.4.2 承包人采购材料与工程设备： </w:t>
      </w:r>
    </w:p>
    <w:p w14:paraId="6E876F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（1）工程材料全部由承包人采购，其中大宗、特种、主要材料、设备的采购，应邀请发包人参与看样、定货并现场封样，承包人最终采购的材料必须与已封样品同质。 </w:t>
      </w:r>
    </w:p>
    <w:p w14:paraId="496FBB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2）招标文件中提供了材料设备参考品牌，承包人可以参考，但不限于发包人提供的参考品牌，可以提供等质或高于参考的品牌，且必须经发包人、监理工程师确定。未经发包人、监理工程师书面同意，擅自施工的，发包人和监理单位不予验收并拒绝支付进度款，设备材料清退出场，重新采购。若采购的档次低于发包人参考品牌的档次，发包人有权要求承包人更换。由此产生的质量、工期及其他不利于发包人的法律后果及费用均由承包人承担。 </w:t>
      </w:r>
    </w:p>
    <w:p w14:paraId="7F8035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（3）本项目拒绝贴牌产品、假冒伪劣产品和过时淘汰产品，如发现此类现象，发包人将追究因 此所造成的一切损失的权利。所提供的材料设备铭牌、指示、警告标识必须具有中文表示。铭牌的内容应符合国家有关规定，其材料应耐腐蚀、耐磨的金属材料，必须牢固附着于设备显著位置。 </w:t>
      </w:r>
    </w:p>
    <w:p w14:paraId="1A8778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（4）双方约定由承包人采购的主要设备材料必须符合国标和设计图纸规定的质量要求，并经发 包人、监理人书面批准。在使用前提供产品合格证明、检测报告，按有关规定进行检验或复试，不 合格的不得使用，发生的费用由承包人自行承担。代用材料时，必须达到原设计标准或高于原设计标准，并经设计、发包人、监理人书面认可，若代用材料质量低于原设计标准，承包人无条件更换直至发包人认可。由此发生的费用，由承包人自行承担。 </w:t>
      </w:r>
    </w:p>
    <w:p w14:paraId="35DEA7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（5）由承包人采购的材料进场后，须经工程师抽样检查合格后方可使用。 </w:t>
      </w:r>
    </w:p>
    <w:p w14:paraId="464478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（6）发包人提供设备技术要求的，承包人须按照技术要求进行采购。 </w:t>
      </w:r>
    </w:p>
    <w:p w14:paraId="33147AE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（7）除参考品牌外的自主报价材料及设备</w:t>
      </w:r>
    </w:p>
    <w:p w14:paraId="4CCE78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除参考品牌材料及设备外，其余材料及设备均属承包人自主报价材料及设备，均由承包人负责采购。自主报价材料及设备必须符合设计要求和有关技术标准、技术要求，必须符合现行的国家和行业有关质量标准，不得成为触犯国家行政管理法律法规的违法产品，不得成为侵害第三方知识产 权，不限于知识产权的民事侵权产品。投标价中材料采购的设备应达到国内中档水平，若未达到须立即更换直至达到国内中档水平，承包人应无条件接受。承包人采购时必须征得监理人及发包人对符合本条要求的材料质量的书面认可，但该书面认可不免除设备和材料在使用中有违背本条前款要 求所应承担的责任。 </w:t>
      </w:r>
    </w:p>
    <w:p w14:paraId="3A3F834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8.6 样品</w:t>
      </w:r>
    </w:p>
    <w:p w14:paraId="36A3128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8.6.1</w:t>
      </w:r>
      <w:r>
        <w:rPr>
          <w:rFonts w:hint="eastAsia" w:ascii="宋体" w:hAnsi="宋体" w:eastAsia="宋体" w:cs="宋体"/>
          <w:b w:val="0"/>
          <w:bCs/>
          <w:color w:val="auto"/>
          <w:sz w:val="24"/>
        </w:rPr>
        <w:tab/>
      </w:r>
      <w:r>
        <w:rPr>
          <w:rFonts w:hint="eastAsia" w:ascii="宋体" w:hAnsi="宋体" w:eastAsia="宋体" w:cs="宋体"/>
          <w:b w:val="0"/>
          <w:bCs/>
          <w:color w:val="auto"/>
          <w:sz w:val="24"/>
        </w:rPr>
        <w:t>样品的报送与封存</w:t>
      </w:r>
    </w:p>
    <w:p w14:paraId="1C60E676">
      <w:pPr>
        <w:keepNext w:val="0"/>
        <w:keepLines w:val="0"/>
        <w:widowControl/>
        <w:suppressLineNumbers w:val="0"/>
        <w:ind w:firstLine="456"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pacing w:val="-6"/>
          <w:sz w:val="24"/>
        </w:rPr>
        <w:t>需要承包人报送样品的材料或工程设备，样品的种类、名称、规格、数量要求</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highlight w:val="none"/>
          <w:u w:val="single"/>
          <w:lang w:val="en-US" w:eastAsia="zh-CN"/>
        </w:rPr>
        <w:t>及时报送监理人及发包人确认，并在发包人指定的场所对材料确认的样板进行封存。</w:t>
      </w:r>
    </w:p>
    <w:p w14:paraId="0E93E6D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8.8 施工设备和临时设施</w:t>
      </w:r>
    </w:p>
    <w:p w14:paraId="770F2D4F">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8.8.1 承包人提供的施工设备和临时设施</w:t>
      </w:r>
    </w:p>
    <w:p w14:paraId="46DD2A65">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关于修建临时设施费用承担的约定：</w:t>
      </w:r>
      <w:r>
        <w:rPr>
          <w:rFonts w:hint="eastAsia" w:ascii="宋体" w:hAnsi="宋体" w:eastAsia="宋体" w:cs="宋体"/>
          <w:b w:val="0"/>
          <w:bCs/>
          <w:color w:val="auto"/>
          <w:sz w:val="24"/>
          <w:u w:val="single"/>
        </w:rPr>
        <w:t xml:space="preserve"> 由承包人承担 </w:t>
      </w:r>
      <w:r>
        <w:rPr>
          <w:rFonts w:hint="eastAsia" w:ascii="宋体" w:hAnsi="宋体" w:eastAsia="宋体" w:cs="宋体"/>
          <w:b w:val="0"/>
          <w:bCs/>
          <w:color w:val="auto"/>
          <w:sz w:val="24"/>
          <w:u w:val="single"/>
          <w:lang w:val="en-US" w:eastAsia="zh-CN"/>
        </w:rPr>
        <w:t>,承包人提供的施工设备应按投标文件中的内容执行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2D2ECB2B">
      <w:pPr>
        <w:spacing w:before="120" w:after="120" w:line="360" w:lineRule="auto"/>
        <w:jc w:val="left"/>
        <w:rPr>
          <w:rFonts w:hint="eastAsia" w:ascii="宋体" w:hAnsi="宋体" w:eastAsia="宋体" w:cs="宋体"/>
          <w:b w:val="0"/>
          <w:bCs/>
          <w:color w:val="auto"/>
          <w:sz w:val="24"/>
        </w:rPr>
      </w:pPr>
      <w:bookmarkStart w:id="234" w:name="_Toc351203641"/>
      <w:r>
        <w:rPr>
          <w:rFonts w:hint="eastAsia" w:ascii="宋体" w:hAnsi="宋体" w:eastAsia="宋体" w:cs="宋体"/>
          <w:b w:val="0"/>
          <w:bCs/>
          <w:color w:val="auto"/>
          <w:sz w:val="24"/>
        </w:rPr>
        <w:t>9</w:t>
      </w:r>
      <w:bookmarkEnd w:id="213"/>
      <w:bookmarkEnd w:id="214"/>
      <w:bookmarkEnd w:id="215"/>
      <w:bookmarkStart w:id="235" w:name="_Toc304295559"/>
      <w:bookmarkStart w:id="236" w:name="_Toc297123533"/>
      <w:bookmarkStart w:id="237" w:name="_Toc312677495"/>
      <w:bookmarkStart w:id="238" w:name="_Toc297216192"/>
      <w:bookmarkStart w:id="239" w:name="_Toc303539139"/>
      <w:bookmarkStart w:id="240" w:name="_Toc312678021"/>
      <w:bookmarkStart w:id="241" w:name="_Toc300934982"/>
      <w:bookmarkStart w:id="242" w:name="_Toc297048359"/>
      <w:bookmarkStart w:id="243" w:name="_Toc297120473"/>
      <w:bookmarkStart w:id="244" w:name="_Toc296347172"/>
      <w:bookmarkStart w:id="245" w:name="_Toc296944512"/>
      <w:bookmarkStart w:id="246" w:name="_Toc267251427"/>
      <w:bookmarkStart w:id="247" w:name="_Toc296346674"/>
      <w:bookmarkStart w:id="248" w:name="_Toc296891001"/>
      <w:bookmarkStart w:id="249" w:name="_Toc296891213"/>
      <w:bookmarkStart w:id="250" w:name="_Toc296503173"/>
      <w:bookmarkStart w:id="251" w:name="_Toc292559378"/>
      <w:bookmarkStart w:id="252" w:name="_Toc292559883"/>
      <w:bookmarkStart w:id="253" w:name="_Toc267251428"/>
      <w:r>
        <w:rPr>
          <w:rFonts w:hint="eastAsia" w:ascii="宋体" w:hAnsi="宋体" w:eastAsia="宋体" w:cs="宋体"/>
          <w:b w:val="0"/>
          <w:bCs/>
          <w:color w:val="auto"/>
          <w:sz w:val="24"/>
        </w:rPr>
        <w:t>. 试验与检验</w:t>
      </w:r>
      <w:bookmarkEnd w:id="234"/>
    </w:p>
    <w:bookmarkEnd w:id="235"/>
    <w:bookmarkEnd w:id="236"/>
    <w:bookmarkEnd w:id="237"/>
    <w:bookmarkEnd w:id="238"/>
    <w:bookmarkEnd w:id="239"/>
    <w:bookmarkEnd w:id="240"/>
    <w:bookmarkEnd w:id="241"/>
    <w:p w14:paraId="42FE251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54" w:name="_Toc297216193"/>
      <w:bookmarkStart w:id="255" w:name="_Toc300934983"/>
      <w:bookmarkStart w:id="256" w:name="_Toc312677496"/>
      <w:bookmarkStart w:id="257" w:name="_Toc312678022"/>
      <w:bookmarkStart w:id="258" w:name="_Toc297123534"/>
      <w:bookmarkStart w:id="259" w:name="_Toc303539140"/>
      <w:bookmarkStart w:id="260" w:name="_Toc304295560"/>
      <w:r>
        <w:rPr>
          <w:rFonts w:hint="eastAsia" w:ascii="宋体" w:hAnsi="宋体" w:eastAsia="宋体" w:cs="宋体"/>
          <w:b w:val="0"/>
          <w:bCs/>
          <w:color w:val="auto"/>
          <w:sz w:val="24"/>
        </w:rPr>
        <w:t>.1试验设备与试验人员</w:t>
      </w:r>
    </w:p>
    <w:bookmarkEnd w:id="254"/>
    <w:bookmarkEnd w:id="255"/>
    <w:bookmarkEnd w:id="256"/>
    <w:bookmarkEnd w:id="257"/>
    <w:bookmarkEnd w:id="258"/>
    <w:bookmarkEnd w:id="259"/>
    <w:bookmarkEnd w:id="260"/>
    <w:p w14:paraId="5DE685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61" w:name="_Toc303539141"/>
      <w:bookmarkStart w:id="262" w:name="_Toc297123535"/>
      <w:bookmarkStart w:id="263" w:name="_Toc312677497"/>
      <w:bookmarkStart w:id="264" w:name="_Toc312678023"/>
      <w:bookmarkStart w:id="265" w:name="_Toc297216194"/>
      <w:bookmarkStart w:id="266" w:name="_Toc304295561"/>
      <w:bookmarkStart w:id="267" w:name="_Toc300934984"/>
      <w:bookmarkStart w:id="268" w:name="_Toc318581174"/>
      <w:r>
        <w:rPr>
          <w:rFonts w:hint="eastAsia" w:ascii="宋体" w:hAnsi="宋体" w:eastAsia="宋体" w:cs="宋体"/>
          <w:b w:val="0"/>
          <w:bCs/>
          <w:color w:val="auto"/>
          <w:sz w:val="24"/>
        </w:rPr>
        <w:t>.1.2 试验设备</w:t>
      </w:r>
    </w:p>
    <w:p w14:paraId="61DDCD0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施工现场需要配置的试验场所：</w:t>
      </w:r>
      <w:bookmarkEnd w:id="261"/>
      <w:bookmarkEnd w:id="262"/>
      <w:bookmarkEnd w:id="263"/>
      <w:bookmarkEnd w:id="264"/>
      <w:bookmarkEnd w:id="265"/>
      <w:bookmarkEnd w:id="266"/>
      <w:bookmarkEnd w:id="267"/>
      <w:bookmarkStart w:id="269" w:name="_Toc304295562"/>
      <w:bookmarkStart w:id="270" w:name="_Toc303539142"/>
      <w:bookmarkStart w:id="271" w:name="_Toc312678024"/>
      <w:bookmarkStart w:id="272" w:name="_Toc300934985"/>
      <w:bookmarkStart w:id="273" w:name="_Toc297216195"/>
      <w:bookmarkStart w:id="274" w:name="_Toc312677498"/>
      <w:bookmarkStart w:id="275" w:name="_Toc297123536"/>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 xml:space="preserve">。 </w:t>
      </w:r>
    </w:p>
    <w:p w14:paraId="36CE7F7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施工现场需要配备的试验设备：</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9C79D4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施工现场需要具备的其他试验条件：</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636553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9.4 现场工艺试验 </w:t>
      </w:r>
    </w:p>
    <w:p w14:paraId="5BE2409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现场工艺试验的有关约定：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268"/>
    <w:bookmarkEnd w:id="269"/>
    <w:bookmarkEnd w:id="270"/>
    <w:bookmarkEnd w:id="271"/>
    <w:bookmarkEnd w:id="272"/>
    <w:bookmarkEnd w:id="273"/>
    <w:bookmarkEnd w:id="274"/>
    <w:bookmarkEnd w:id="275"/>
    <w:p w14:paraId="00128F2B">
      <w:pPr>
        <w:spacing w:before="120" w:after="120" w:line="360" w:lineRule="auto"/>
        <w:jc w:val="left"/>
        <w:rPr>
          <w:rFonts w:hint="eastAsia" w:ascii="宋体" w:hAnsi="宋体" w:eastAsia="宋体" w:cs="宋体"/>
          <w:b w:val="0"/>
          <w:bCs/>
          <w:color w:val="auto"/>
          <w:sz w:val="24"/>
        </w:rPr>
      </w:pPr>
      <w:bookmarkStart w:id="276" w:name="_Toc351203642"/>
      <w:r>
        <w:rPr>
          <w:rFonts w:hint="eastAsia" w:ascii="宋体" w:hAnsi="宋体" w:eastAsia="宋体" w:cs="宋体"/>
          <w:b w:val="0"/>
          <w:bCs/>
          <w:color w:val="auto"/>
          <w:sz w:val="24"/>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296346694"/>
      <w:bookmarkStart w:id="278" w:name="_Toc292559903"/>
      <w:bookmarkStart w:id="279" w:name="_Toc292559398"/>
      <w:bookmarkStart w:id="280" w:name="_Toc296347192"/>
      <w:bookmarkStart w:id="281" w:name="_Toc296891021"/>
      <w:bookmarkStart w:id="282" w:name="_Toc296503193"/>
      <w:bookmarkStart w:id="283" w:name="_Toc300934989"/>
      <w:bookmarkStart w:id="284" w:name="_Toc296891233"/>
      <w:bookmarkStart w:id="285" w:name="_Toc303539146"/>
      <w:bookmarkStart w:id="286" w:name="_Toc296944532"/>
      <w:bookmarkStart w:id="287" w:name="_Toc297123540"/>
      <w:bookmarkStart w:id="288" w:name="_Toc304295566"/>
      <w:bookmarkStart w:id="289" w:name="_Toc297120493"/>
      <w:bookmarkStart w:id="290" w:name="_Toc297048379"/>
      <w:bookmarkStart w:id="291" w:name="_Toc297216199"/>
      <w:bookmarkStart w:id="292" w:name="_Toc312678025"/>
      <w:bookmarkStart w:id="293" w:name="_Toc312677499"/>
      <w:bookmarkStart w:id="294" w:name="_Toc267251437"/>
      <w:bookmarkStart w:id="295" w:name="_Toc267251433"/>
      <w:bookmarkStart w:id="296" w:name="_Toc267251440"/>
      <w:bookmarkStart w:id="297" w:name="_Toc267251441"/>
      <w:bookmarkStart w:id="298" w:name="_Toc267251435"/>
      <w:bookmarkStart w:id="299" w:name="_Toc267251439"/>
      <w:bookmarkStart w:id="300" w:name="_Toc267251442"/>
      <w:r>
        <w:rPr>
          <w:rFonts w:hint="eastAsia" w:ascii="宋体" w:hAnsi="宋体" w:eastAsia="宋体" w:cs="宋体"/>
          <w:b w:val="0"/>
          <w:bCs/>
          <w:color w:val="auto"/>
          <w:sz w:val="24"/>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08515F0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01" w:name="_Toc296944533"/>
      <w:bookmarkStart w:id="302" w:name="_Toc296503194"/>
      <w:bookmarkStart w:id="303" w:name="_Toc297120494"/>
      <w:bookmarkStart w:id="304" w:name="_Toc296347193"/>
      <w:bookmarkStart w:id="305" w:name="_Toc297048380"/>
      <w:bookmarkStart w:id="306" w:name="_Toc292559904"/>
      <w:bookmarkStart w:id="307" w:name="_Toc297123541"/>
      <w:bookmarkStart w:id="308" w:name="_Toc292559399"/>
      <w:bookmarkStart w:id="309" w:name="_Toc303539147"/>
      <w:bookmarkStart w:id="310" w:name="_Toc304295567"/>
      <w:bookmarkStart w:id="311" w:name="_Toc312677500"/>
      <w:bookmarkStart w:id="312" w:name="_Toc312678026"/>
      <w:bookmarkStart w:id="313" w:name="_Toc296346695"/>
      <w:bookmarkStart w:id="314" w:name="_Toc300934990"/>
      <w:bookmarkStart w:id="315" w:name="_Toc297216200"/>
      <w:bookmarkStart w:id="316" w:name="_Toc296891022"/>
      <w:bookmarkStart w:id="317" w:name="_Toc296891234"/>
      <w:r>
        <w:rPr>
          <w:rFonts w:hint="eastAsia" w:ascii="宋体" w:hAnsi="宋体" w:eastAsia="宋体" w:cs="宋体"/>
          <w:b w:val="0"/>
          <w:bCs/>
          <w:color w:val="auto"/>
          <w:sz w:val="24"/>
        </w:rPr>
        <w:t>0.1变更的范围</w:t>
      </w:r>
    </w:p>
    <w:p w14:paraId="47E7D6C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关于变更的范围的约定：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5CA21C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10.4 变更估价</w:t>
      </w:r>
    </w:p>
    <w:p w14:paraId="5DA037B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10.4.1 变更估价原则</w:t>
      </w:r>
    </w:p>
    <w:p w14:paraId="2723BBF6">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sz w:val="24"/>
        </w:rPr>
        <w:t xml:space="preserve">关于变更估价的约定: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①合同中有相同或类似工程项目单价的，可以参照合同中相同或类似项目的综合单价计算确定。</w:t>
      </w:r>
    </w:p>
    <w:p w14:paraId="267100E2">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53A0F76C">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③由于清单项目中项目特征或工程内容发生部分变更的，应以原综合单价为基础，仅就变更部分相应定额子目调整综合单价。</w:t>
      </w:r>
    </w:p>
    <w:p w14:paraId="38EF85A4">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④以上综合单价调整措施费不调整。</w:t>
      </w:r>
    </w:p>
    <w:p w14:paraId="536086B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7048383"/>
      <w:bookmarkStart w:id="319" w:name="_Toc296347196"/>
      <w:bookmarkStart w:id="320" w:name="_Toc296346698"/>
      <w:bookmarkStart w:id="321" w:name="_Toc292559907"/>
      <w:bookmarkStart w:id="322" w:name="_Toc300934993"/>
      <w:bookmarkStart w:id="323" w:name="_Toc296891025"/>
      <w:bookmarkStart w:id="324" w:name="_Toc297216203"/>
      <w:bookmarkStart w:id="325" w:name="_Toc296503197"/>
      <w:bookmarkStart w:id="326" w:name="_Toc296891237"/>
      <w:bookmarkStart w:id="327" w:name="_Toc303539150"/>
      <w:bookmarkStart w:id="328" w:name="_Toc296944536"/>
      <w:bookmarkStart w:id="329" w:name="_Toc297123544"/>
      <w:bookmarkStart w:id="330" w:name="_Toc297120497"/>
      <w:bookmarkStart w:id="331" w:name="_Toc292559402"/>
      <w:bookmarkStart w:id="332" w:name="_Toc312678029"/>
      <w:bookmarkStart w:id="333" w:name="_Toc312677503"/>
      <w:bookmarkStart w:id="334" w:name="_Toc304295570"/>
      <w:r>
        <w:rPr>
          <w:rFonts w:hint="eastAsia" w:ascii="宋体" w:hAnsi="宋体" w:eastAsia="宋体" w:cs="宋体"/>
          <w:b w:val="0"/>
          <w:bCs/>
          <w:color w:val="auto"/>
          <w:sz w:val="24"/>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6891243"/>
      <w:bookmarkStart w:id="336" w:name="_Toc292559913"/>
      <w:bookmarkStart w:id="337" w:name="_Toc303539151"/>
      <w:bookmarkStart w:id="338" w:name="_Toc292559408"/>
      <w:bookmarkStart w:id="339" w:name="_Toc297123545"/>
      <w:bookmarkStart w:id="340" w:name="_Toc300934994"/>
      <w:bookmarkStart w:id="341" w:name="_Toc296347202"/>
      <w:bookmarkStart w:id="342" w:name="_Toc296503203"/>
      <w:bookmarkStart w:id="343" w:name="_Toc296346704"/>
      <w:bookmarkStart w:id="344" w:name="_Toc296891031"/>
      <w:bookmarkStart w:id="345" w:name="_Toc297048389"/>
      <w:bookmarkStart w:id="346" w:name="_Toc297120503"/>
      <w:bookmarkStart w:id="347" w:name="_Toc296944542"/>
      <w:bookmarkStart w:id="348" w:name="_Toc297216204"/>
      <w:r>
        <w:rPr>
          <w:rFonts w:hint="eastAsia" w:ascii="宋体" w:hAnsi="宋体" w:eastAsia="宋体" w:cs="宋体"/>
          <w:b w:val="0"/>
          <w:bCs/>
          <w:color w:val="auto"/>
          <w:sz w:val="24"/>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53AA73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监理人审查承包人合理化建议的期限：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CD7B35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257BE52">
      <w:pPr>
        <w:spacing w:line="360" w:lineRule="auto"/>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承</w:t>
      </w:r>
      <w:bookmarkStart w:id="349" w:name="_Toc318581175"/>
      <w:bookmarkStart w:id="350" w:name="_Toc300934995"/>
      <w:bookmarkStart w:id="351" w:name="_Toc297123546"/>
      <w:bookmarkStart w:id="352" w:name="_Toc297048390"/>
      <w:bookmarkStart w:id="353" w:name="_Toc303539152"/>
      <w:bookmarkStart w:id="354" w:name="_Toc312677504"/>
      <w:bookmarkStart w:id="355" w:name="_Toc296944543"/>
      <w:bookmarkStart w:id="356" w:name="_Toc296891032"/>
      <w:bookmarkStart w:id="357" w:name="_Toc296346705"/>
      <w:bookmarkStart w:id="358" w:name="_Toc292559409"/>
      <w:bookmarkStart w:id="359" w:name="_Toc312678030"/>
      <w:bookmarkStart w:id="360" w:name="_Toc296891244"/>
      <w:bookmarkStart w:id="361" w:name="_Toc296503204"/>
      <w:bookmarkStart w:id="362" w:name="_Toc297120504"/>
      <w:bookmarkStart w:id="363" w:name="_Toc304295571"/>
      <w:bookmarkStart w:id="364" w:name="_Toc296347203"/>
      <w:bookmarkStart w:id="365" w:name="_Toc292559914"/>
      <w:bookmarkStart w:id="366" w:name="_Toc297216205"/>
      <w:r>
        <w:rPr>
          <w:rFonts w:hint="eastAsia" w:ascii="宋体" w:hAnsi="宋体" w:eastAsia="宋体" w:cs="宋体"/>
          <w:b w:val="0"/>
          <w:bCs/>
          <w:color w:val="auto"/>
          <w:sz w:val="24"/>
        </w:rPr>
        <w:t>包人提出的合理化建议降低了合同价格或者提高了工程经济效益的奖励的方法和金额为：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7F74CA4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67" w:name="_Toc312678033"/>
      <w:bookmarkStart w:id="368" w:name="_Toc303539154"/>
      <w:bookmarkStart w:id="369" w:name="_Toc296891027"/>
      <w:bookmarkStart w:id="370" w:name="_Toc292559404"/>
      <w:bookmarkStart w:id="371" w:name="_Toc297120499"/>
      <w:bookmarkStart w:id="372" w:name="_Toc312677507"/>
      <w:bookmarkStart w:id="373" w:name="_Toc296891239"/>
      <w:bookmarkStart w:id="374" w:name="_Toc296503199"/>
      <w:bookmarkStart w:id="375" w:name="_Toc296347198"/>
      <w:bookmarkStart w:id="376" w:name="_Toc292559909"/>
      <w:bookmarkStart w:id="377" w:name="_Toc296944538"/>
      <w:bookmarkStart w:id="378" w:name="_Toc304295574"/>
      <w:bookmarkStart w:id="379" w:name="_Toc296346700"/>
      <w:bookmarkStart w:id="380" w:name="_Toc297123548"/>
      <w:bookmarkStart w:id="381" w:name="_Toc297048385"/>
      <w:bookmarkStart w:id="382" w:name="_Toc297216207"/>
      <w:bookmarkStart w:id="383" w:name="_Toc300934997"/>
      <w:r>
        <w:rPr>
          <w:rFonts w:hint="eastAsia" w:ascii="宋体" w:hAnsi="宋体" w:eastAsia="宋体" w:cs="宋体"/>
          <w:b w:val="0"/>
          <w:bCs/>
          <w:color w:val="auto"/>
          <w:sz w:val="24"/>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41C800F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暂</w:t>
      </w:r>
      <w:bookmarkStart w:id="384" w:name="_Toc312677508"/>
      <w:bookmarkStart w:id="385" w:name="_Toc312678034"/>
      <w:bookmarkStart w:id="386" w:name="_Toc318581176"/>
      <w:r>
        <w:rPr>
          <w:rFonts w:hint="eastAsia" w:ascii="宋体" w:hAnsi="宋体" w:eastAsia="宋体" w:cs="宋体"/>
          <w:b w:val="0"/>
          <w:bCs/>
          <w:color w:val="auto"/>
          <w:sz w:val="24"/>
        </w:rPr>
        <w:t>估价材料和工程设备的明细详见附件：《暂估价一览表》。</w:t>
      </w:r>
    </w:p>
    <w:bookmarkEnd w:id="384"/>
    <w:bookmarkEnd w:id="385"/>
    <w:bookmarkEnd w:id="386"/>
    <w:p w14:paraId="0E08281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87" w:name="_Toc312677509"/>
      <w:bookmarkStart w:id="388" w:name="_Toc312678035"/>
      <w:bookmarkStart w:id="389" w:name="_Toc318581177"/>
      <w:r>
        <w:rPr>
          <w:rFonts w:hint="eastAsia" w:ascii="宋体" w:hAnsi="宋体" w:eastAsia="宋体" w:cs="宋体"/>
          <w:b w:val="0"/>
          <w:bCs/>
          <w:color w:val="auto"/>
          <w:sz w:val="24"/>
        </w:rPr>
        <w:t>0.7.1 依法必须招标的暂估价项目</w:t>
      </w:r>
    </w:p>
    <w:bookmarkEnd w:id="387"/>
    <w:bookmarkEnd w:id="388"/>
    <w:bookmarkEnd w:id="389"/>
    <w:p w14:paraId="15FC934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对于依法必须招标的暂估价项目的确认和批准采取第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种方式确定。</w:t>
      </w:r>
    </w:p>
    <w:p w14:paraId="023938E3">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第1种方式：对于依法必须招标的暂估价项目，由承包人招标，对该暂估价项目的确认和批准按照以下约定执行：</w:t>
      </w:r>
    </w:p>
    <w:p w14:paraId="75A6D7F2">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2AE9805">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（2）承包人应当根据施工进度计划，提前14天将</w:t>
      </w:r>
      <w:r>
        <w:rPr>
          <w:rFonts w:hint="eastAsia" w:ascii="宋体" w:hAnsi="宋体" w:eastAsia="宋体" w:cs="宋体"/>
          <w:b w:val="0"/>
          <w:bCs/>
          <w:color w:val="auto"/>
          <w:kern w:val="2"/>
          <w:sz w:val="24"/>
          <w:lang w:val="en-US" w:eastAsia="zh-CN"/>
        </w:rPr>
        <w:t>招标文件</w:t>
      </w:r>
      <w:r>
        <w:rPr>
          <w:rFonts w:hint="eastAsia" w:ascii="宋体" w:hAnsi="宋体" w:eastAsia="宋体" w:cs="宋体"/>
          <w:b w:val="0"/>
          <w:bCs/>
          <w:color w:val="auto"/>
          <w:kern w:val="2"/>
          <w:sz w:val="24"/>
        </w:rPr>
        <w:t>通过监理人报送发包人审批，发包人应当在收到承包人报送的相关文件后7天内完成审批或提出修改意见；发包人有权确定招标控制价并按照法律规定参加评标；</w:t>
      </w:r>
    </w:p>
    <w:p w14:paraId="081809F2">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r>
        <w:rPr>
          <w:rFonts w:hint="eastAsia" w:ascii="宋体" w:hAnsi="宋体" w:eastAsia="宋体" w:cs="宋体"/>
          <w:b w:val="0"/>
          <w:bCs/>
          <w:color w:val="auto"/>
          <w:spacing w:val="-10"/>
          <w:kern w:val="2"/>
          <w:sz w:val="24"/>
        </w:rPr>
        <w:t>。</w:t>
      </w:r>
    </w:p>
    <w:p w14:paraId="1FAD782E">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第2种方式：对于依法必须招标的暂估价项目，</w:t>
      </w:r>
      <w:r>
        <w:rPr>
          <w:rFonts w:hint="eastAsia" w:ascii="宋体" w:hAnsi="宋体" w:eastAsia="宋体" w:cs="宋体"/>
          <w:b w:val="0"/>
          <w:bCs/>
          <w:color w:val="auto"/>
          <w:kern w:val="2"/>
          <w:sz w:val="24"/>
          <w:lang w:val="en-US" w:eastAsia="zh-CN"/>
        </w:rPr>
        <w:t>专业工程暂估价项目</w:t>
      </w:r>
      <w:r>
        <w:rPr>
          <w:rFonts w:hint="eastAsia" w:ascii="宋体" w:hAnsi="宋体" w:eastAsia="宋体" w:cs="宋体"/>
          <w:b w:val="0"/>
          <w:bCs/>
          <w:color w:val="auto"/>
          <w:kern w:val="2"/>
          <w:sz w:val="24"/>
        </w:rPr>
        <w:t>由发包人招标确定暂估价供应商，承包人应按照施工进度计划，在招标工作启动前45天通知发包人，发包人负责暂估价招标方案和工作分工。确定中标人后，由发包人、中标人签订暂估价合同。中标人向总包方缴纳合同结算价款3%的配合费。</w:t>
      </w:r>
    </w:p>
    <w:p w14:paraId="3A34429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10.7.2 不属于依法必须招标的暂估价项目</w:t>
      </w:r>
    </w:p>
    <w:p w14:paraId="72DC14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对于不属于依法必须招标的暂估价项目的确认和批准采取第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2</w:t>
      </w:r>
      <w:r>
        <w:rPr>
          <w:rFonts w:hint="eastAsia" w:ascii="宋体" w:hAnsi="宋体" w:eastAsia="宋体" w:cs="宋体"/>
          <w:b w:val="0"/>
          <w:bCs/>
          <w:color w:val="auto"/>
          <w:sz w:val="24"/>
        </w:rPr>
        <w:t xml:space="preserve"> 种方式确定。</w:t>
      </w:r>
    </w:p>
    <w:p w14:paraId="6ACE84C8">
      <w:pPr>
        <w:spacing w:line="360" w:lineRule="auto"/>
        <w:ind w:firstLine="464" w:firstLineChars="200"/>
        <w:rPr>
          <w:rFonts w:hint="eastAsia" w:ascii="宋体" w:hAnsi="宋体" w:eastAsia="宋体" w:cs="宋体"/>
          <w:b w:val="0"/>
          <w:bCs/>
          <w:color w:val="auto"/>
          <w:spacing w:val="-4"/>
          <w:sz w:val="24"/>
        </w:rPr>
      </w:pPr>
      <w:r>
        <w:rPr>
          <w:rFonts w:hint="eastAsia" w:ascii="宋体" w:hAnsi="宋体" w:eastAsia="宋体" w:cs="宋体"/>
          <w:b w:val="0"/>
          <w:bCs/>
          <w:color w:val="auto"/>
          <w:spacing w:val="-4"/>
          <w:sz w:val="24"/>
        </w:rPr>
        <w:t>第1种方式：对于不属于依法必须招标的暂估价项目，按本项约定确认和批准：</w:t>
      </w:r>
    </w:p>
    <w:p w14:paraId="4FA5E63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CBB51C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（2）发包人认为承包人确定的供应商、分包人无法满足工程质量或合同要求的，发包人可以要求承包人重新确定暂估价项目的供应商、分包人;</w:t>
      </w:r>
    </w:p>
    <w:p w14:paraId="407197E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（3）承包人应当在签订暂估价合同后7天内，将暂估价合同副本报送发包人留存</w:t>
      </w:r>
      <w:r>
        <w:rPr>
          <w:rFonts w:hint="eastAsia" w:ascii="宋体" w:hAnsi="宋体" w:eastAsia="宋体" w:cs="宋体"/>
          <w:b w:val="0"/>
          <w:bCs/>
          <w:color w:val="auto"/>
          <w:spacing w:val="-8"/>
          <w:sz w:val="24"/>
        </w:rPr>
        <w:t>。</w:t>
      </w:r>
    </w:p>
    <w:p w14:paraId="2629BFB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第2种方式：承包人按照第10.7.1项〔依法必须招标的暂估价项目〕约定的第</w:t>
      </w:r>
      <w:r>
        <w:rPr>
          <w:rFonts w:hint="eastAsia" w:ascii="宋体" w:hAnsi="宋体" w:eastAsia="宋体" w:cs="宋体"/>
          <w:b w:val="0"/>
          <w:bCs/>
          <w:color w:val="auto"/>
          <w:sz w:val="24"/>
          <w:lang w:val="en-US" w:eastAsia="zh-CN"/>
        </w:rPr>
        <w:t>2</w:t>
      </w:r>
      <w:r>
        <w:rPr>
          <w:rFonts w:hint="eastAsia" w:ascii="宋体" w:hAnsi="宋体" w:eastAsia="宋体" w:cs="宋体"/>
          <w:b w:val="0"/>
          <w:bCs/>
          <w:color w:val="auto"/>
          <w:sz w:val="24"/>
        </w:rPr>
        <w:t>种方式确定暂估价项目。</w:t>
      </w:r>
    </w:p>
    <w:p w14:paraId="4D43F97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第3种方式：承包人直接实施的暂估价项目</w:t>
      </w:r>
    </w:p>
    <w:p w14:paraId="55CF81C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承包人直接实施的暂估价项目的约定：</w:t>
      </w:r>
      <w:r>
        <w:rPr>
          <w:rFonts w:hint="eastAsia" w:ascii="宋体" w:hAnsi="宋体" w:eastAsia="宋体" w:cs="宋体"/>
          <w:b w:val="0"/>
          <w:bCs/>
          <w:color w:val="auto"/>
          <w:sz w:val="24"/>
          <w:u w:val="single"/>
        </w:rPr>
        <w:t xml:space="preserve">  暂</w:t>
      </w:r>
      <w:r>
        <w:rPr>
          <w:rFonts w:hint="eastAsia" w:ascii="宋体" w:hAnsi="宋体" w:eastAsia="宋体" w:cs="宋体"/>
          <w:b w:val="0"/>
          <w:bCs/>
          <w:color w:val="auto"/>
          <w:sz w:val="24"/>
          <w:u w:val="single"/>
          <w:lang w:eastAsia="zh-CN"/>
        </w:rPr>
        <w:t>定</w:t>
      </w:r>
      <w:r>
        <w:rPr>
          <w:rFonts w:hint="eastAsia" w:ascii="宋体" w:hAnsi="宋体" w:eastAsia="宋体" w:cs="宋体"/>
          <w:b w:val="0"/>
          <w:bCs/>
          <w:color w:val="auto"/>
          <w:sz w:val="24"/>
          <w:u w:val="single"/>
        </w:rPr>
        <w:t>价材料采购，项目实施期间承包人必须在采购前提出使用计划提请发包人进行认质认价，由承包人提出品牌和价格，</w:t>
      </w:r>
      <w:r>
        <w:rPr>
          <w:rFonts w:hint="eastAsia" w:ascii="宋体" w:hAnsi="宋体" w:eastAsia="宋体" w:cs="宋体"/>
          <w:b w:val="0"/>
          <w:bCs/>
          <w:color w:val="auto"/>
          <w:sz w:val="24"/>
          <w:u w:val="single"/>
          <w:lang w:eastAsia="zh-CN"/>
        </w:rPr>
        <w:t>经认质认价小组考察并认定，</w:t>
      </w:r>
      <w:r>
        <w:rPr>
          <w:rFonts w:hint="eastAsia" w:ascii="宋体" w:hAnsi="宋体" w:eastAsia="宋体" w:cs="宋体"/>
          <w:b w:val="0"/>
          <w:bCs/>
          <w:color w:val="auto"/>
          <w:sz w:val="24"/>
          <w:u w:val="single"/>
        </w:rPr>
        <w:t>报</w:t>
      </w:r>
      <w:r>
        <w:rPr>
          <w:rFonts w:hint="eastAsia" w:ascii="宋体" w:hAnsi="宋体" w:eastAsia="宋体" w:cs="宋体"/>
          <w:b w:val="0"/>
          <w:bCs/>
          <w:color w:val="auto"/>
          <w:sz w:val="24"/>
          <w:u w:val="single"/>
          <w:lang w:eastAsia="zh-CN"/>
        </w:rPr>
        <w:t>发包</w:t>
      </w:r>
      <w:r>
        <w:rPr>
          <w:rFonts w:hint="eastAsia" w:ascii="宋体" w:hAnsi="宋体" w:eastAsia="宋体" w:cs="宋体"/>
          <w:b w:val="0"/>
          <w:bCs/>
          <w:color w:val="auto"/>
          <w:sz w:val="24"/>
          <w:u w:val="single"/>
        </w:rPr>
        <w:t xml:space="preserve">人审核同意后执行。 </w:t>
      </w:r>
    </w:p>
    <w:p w14:paraId="583C6241">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10.8 暂列金额</w:t>
      </w:r>
    </w:p>
    <w:p w14:paraId="5AAC973D">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合同当事人关于暂列金额使用的约定：</w:t>
      </w:r>
      <w:r>
        <w:rPr>
          <w:rFonts w:hint="eastAsia" w:ascii="宋体" w:hAnsi="宋体" w:eastAsia="宋体" w:cs="宋体"/>
          <w:b w:val="0"/>
          <w:bCs/>
          <w:color w:val="auto"/>
          <w:sz w:val="24"/>
          <w:u w:val="single"/>
        </w:rPr>
        <w:t xml:space="preserve"> 属发包人金额，使用由发包人确定 </w:t>
      </w:r>
      <w:r>
        <w:rPr>
          <w:rFonts w:hint="eastAsia" w:ascii="宋体" w:hAnsi="宋体" w:eastAsia="宋体" w:cs="宋体"/>
          <w:b w:val="0"/>
          <w:bCs/>
          <w:color w:val="auto"/>
          <w:sz w:val="24"/>
        </w:rPr>
        <w:t>。</w:t>
      </w:r>
    </w:p>
    <w:p w14:paraId="457A4577">
      <w:pPr>
        <w:spacing w:before="120" w:after="120" w:line="360" w:lineRule="auto"/>
        <w:jc w:val="left"/>
        <w:rPr>
          <w:rFonts w:hint="eastAsia" w:ascii="宋体" w:hAnsi="宋体" w:eastAsia="宋体" w:cs="宋体"/>
          <w:b w:val="0"/>
          <w:bCs/>
          <w:color w:val="auto"/>
          <w:sz w:val="24"/>
        </w:rPr>
      </w:pPr>
      <w:bookmarkStart w:id="390" w:name="_Toc351203643"/>
      <w:r>
        <w:rPr>
          <w:rFonts w:hint="eastAsia" w:ascii="宋体" w:hAnsi="宋体" w:eastAsia="宋体" w:cs="宋体"/>
          <w:b w:val="0"/>
          <w:bCs/>
          <w:color w:val="auto"/>
          <w:sz w:val="24"/>
        </w:rPr>
        <w:t>11. 价格调整</w:t>
      </w:r>
      <w:bookmarkEnd w:id="390"/>
    </w:p>
    <w:p w14:paraId="307B5739">
      <w:pPr>
        <w:spacing w:after="120" w:line="360" w:lineRule="auto"/>
        <w:ind w:firstLine="480" w:firstLineChars="200"/>
        <w:rPr>
          <w:rFonts w:hint="eastAsia" w:ascii="宋体" w:hAnsi="宋体" w:eastAsia="宋体" w:cs="宋体"/>
          <w:b w:val="0"/>
          <w:bCs/>
          <w:color w:val="auto"/>
          <w:sz w:val="24"/>
        </w:rPr>
      </w:pPr>
      <w:bookmarkStart w:id="391" w:name="_Toc304295577"/>
      <w:bookmarkStart w:id="392" w:name="_Toc296503201"/>
      <w:bookmarkStart w:id="393" w:name="_Toc296944540"/>
      <w:bookmarkStart w:id="394" w:name="_Toc292559911"/>
      <w:bookmarkStart w:id="395" w:name="_Toc296891241"/>
      <w:bookmarkStart w:id="396" w:name="_Toc312678039"/>
      <w:bookmarkStart w:id="397" w:name="_Toc303539157"/>
      <w:bookmarkStart w:id="398" w:name="_Toc297048387"/>
      <w:bookmarkStart w:id="399" w:name="_Toc297216209"/>
      <w:bookmarkStart w:id="400" w:name="_Toc296891029"/>
      <w:bookmarkStart w:id="401" w:name="_Toc292559406"/>
      <w:bookmarkStart w:id="402" w:name="_Toc300935000"/>
      <w:bookmarkStart w:id="403" w:name="_Toc296347200"/>
      <w:bookmarkStart w:id="404" w:name="_Toc296346702"/>
      <w:bookmarkStart w:id="405" w:name="_Toc297123550"/>
      <w:bookmarkStart w:id="406" w:name="_Toc297120501"/>
      <w:r>
        <w:rPr>
          <w:rFonts w:hint="eastAsia" w:ascii="宋体" w:hAnsi="宋体" w:eastAsia="宋体" w:cs="宋体"/>
          <w:b w:val="0"/>
          <w:bCs/>
          <w:color w:val="auto"/>
          <w:sz w:val="24"/>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3886F56F">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市场价格波动是否调整合同价格的约定：</w:t>
      </w:r>
    </w:p>
    <w:p w14:paraId="3F6923E1">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因市场价格波动调整合同价格，采用以下第</w:t>
      </w:r>
      <w:r>
        <w:rPr>
          <w:rFonts w:hint="eastAsia" w:ascii="宋体" w:hAnsi="宋体"/>
          <w:color w:val="auto"/>
          <w:sz w:val="24"/>
          <w:u w:val="single"/>
        </w:rPr>
        <w:t xml:space="preserve"> </w:t>
      </w:r>
      <w:r>
        <w:rPr>
          <w:rFonts w:hint="eastAsia" w:ascii="宋体" w:hAnsi="宋体"/>
          <w:color w:val="auto"/>
          <w:sz w:val="24"/>
          <w:u w:val="single"/>
          <w:lang w:val="en-US" w:eastAsia="zh-CN"/>
        </w:rPr>
        <w:t>2</w:t>
      </w:r>
      <w:r>
        <w:rPr>
          <w:rFonts w:hint="eastAsia" w:ascii="宋体" w:hAnsi="宋体"/>
          <w:color w:val="auto"/>
          <w:sz w:val="24"/>
          <w:u w:val="single"/>
        </w:rPr>
        <w:t xml:space="preserve"> </w:t>
      </w:r>
      <w:r>
        <w:rPr>
          <w:rFonts w:hint="eastAsia" w:ascii="宋体" w:hAnsi="宋体"/>
          <w:color w:val="auto"/>
          <w:sz w:val="24"/>
        </w:rPr>
        <w:t>种方式对合同价格进行调整：</w:t>
      </w:r>
    </w:p>
    <w:p w14:paraId="06DACB7D">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第1种方式：采用价格指数进行价格调整。</w:t>
      </w:r>
    </w:p>
    <w:p w14:paraId="4C4AECF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u w:val="single"/>
        </w:rPr>
      </w:pPr>
      <w:r>
        <w:rPr>
          <w:rFonts w:hint="eastAsia" w:ascii="宋体" w:hAnsi="宋体"/>
          <w:color w:val="auto"/>
          <w:sz w:val="24"/>
        </w:rPr>
        <w:t>关于各可调因子、定值和变值权重，以及基本价格指数及其来源的约定：</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 </w:t>
      </w:r>
      <w:r>
        <w:rPr>
          <w:rFonts w:hint="eastAsia" w:ascii="宋体" w:hAnsi="宋体"/>
          <w:color w:val="auto"/>
          <w:sz w:val="24"/>
          <w:u w:val="single"/>
        </w:rPr>
        <w:t xml:space="preserve"> </w:t>
      </w:r>
      <w:r>
        <w:rPr>
          <w:rFonts w:hint="eastAsia" w:ascii="宋体" w:hAnsi="宋体"/>
          <w:color w:val="auto"/>
          <w:sz w:val="24"/>
        </w:rPr>
        <w:t xml:space="preserve">；  </w:t>
      </w:r>
    </w:p>
    <w:p w14:paraId="63501E1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rPr>
      </w:pPr>
      <w:r>
        <w:rPr>
          <w:rFonts w:hint="eastAsia" w:ascii="宋体" w:hAnsi="宋体"/>
          <w:color w:val="auto"/>
          <w:sz w:val="24"/>
        </w:rPr>
        <w:t>第2种方式：采用造价信息进行价格调整。</w:t>
      </w:r>
    </w:p>
    <w:p w14:paraId="01A21FC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olor w:val="auto"/>
          <w:sz w:val="24"/>
          <w:lang w:val="en-US" w:eastAsia="zh-CN"/>
        </w:rPr>
      </w:pPr>
      <w:r>
        <w:rPr>
          <w:rFonts w:hint="eastAsia" w:ascii="宋体" w:hAnsi="宋体"/>
          <w:color w:val="auto"/>
          <w:sz w:val="24"/>
        </w:rPr>
        <w:t>（2）关于基准价格的约定：</w:t>
      </w:r>
      <w:r>
        <w:rPr>
          <w:rFonts w:hint="eastAsia" w:ascii="宋体" w:hAnsi="宋体"/>
          <w:color w:val="auto"/>
          <w:sz w:val="24"/>
          <w:u w:val="single"/>
          <w:lang w:val="en-US" w:eastAsia="zh-CN"/>
        </w:rPr>
        <w:t>投标文件递交截止时间前28天当期《渭南工程造价信息》价格。</w:t>
      </w:r>
    </w:p>
    <w:p w14:paraId="2961A67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5</w:t>
      </w:r>
      <w:r>
        <w:rPr>
          <w:rFonts w:hint="eastAsia" w:ascii="宋体" w:hAnsi="宋体"/>
          <w:color w:val="auto"/>
          <w:sz w:val="24"/>
          <w:u w:val="single"/>
        </w:rPr>
        <w:t xml:space="preserve"> </w:t>
      </w:r>
      <w:r>
        <w:rPr>
          <w:rFonts w:hint="eastAsia" w:ascii="宋体" w:hAnsi="宋体"/>
          <w:color w:val="auto"/>
          <w:sz w:val="24"/>
        </w:rPr>
        <w:t>%时，或材料单价跌幅以已标价工程量清单或预算书中载明材料单价为基础超过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02CAA036">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②承包人在已标价工程量清单或预算书中载明的材料单价高于基准价格的：专用合同条款合同履行期间材料单价跌幅以基准价格为基础超过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%时，材料单价涨幅以已标价工程量清单或预算书中载明材料单价为基础超过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%时，其超过部分据实调整。</w:t>
      </w:r>
    </w:p>
    <w:p w14:paraId="63FE2C07">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color w:val="auto"/>
          <w:sz w:val="24"/>
        </w:rPr>
      </w:pPr>
      <w:r>
        <w:rPr>
          <w:rFonts w:hint="eastAsia" w:ascii="宋体" w:hAnsi="宋体"/>
          <w:color w:val="auto"/>
          <w:sz w:val="24"/>
        </w:rPr>
        <w:t>③承包人在已标价工程量清单或预算书中载明的材料单价等于基准单价的：专用合同条款合同履行期间材料单价涨跌幅以基准单价为基础超过±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2B8E2FC7">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lang w:val="en-US" w:eastAsia="zh-CN"/>
        </w:rPr>
        <w:t>④本项目允许调整的材料：</w:t>
      </w:r>
      <w:r>
        <w:rPr>
          <w:rFonts w:hint="eastAsia" w:ascii="宋体" w:hAnsi="宋体"/>
          <w:color w:val="auto"/>
          <w:sz w:val="24"/>
          <w:u w:val="single"/>
          <w:lang w:val="en-US" w:eastAsia="zh-CN"/>
        </w:rPr>
        <w:t>土建部分：商砼、水泥、钢筋</w:t>
      </w:r>
      <w:r>
        <w:rPr>
          <w:rFonts w:hint="eastAsia" w:ascii="宋体" w:hAnsi="宋体"/>
          <w:color w:val="auto"/>
          <w:sz w:val="24"/>
          <w:lang w:val="en-US" w:eastAsia="zh-CN"/>
        </w:rPr>
        <w:t>。</w:t>
      </w:r>
    </w:p>
    <w:p w14:paraId="1E1D0D3E">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b w:val="0"/>
          <w:bCs/>
          <w:color w:val="auto"/>
          <w:sz w:val="24"/>
          <w:highlight w:val="none"/>
          <w:u w:val="none"/>
        </w:rPr>
      </w:pPr>
      <w:r>
        <w:rPr>
          <w:rFonts w:hint="eastAsia" w:ascii="宋体" w:hAnsi="宋体"/>
          <w:color w:val="auto"/>
          <w:sz w:val="24"/>
        </w:rPr>
        <w:t>第3种方式：其他价格调整方式：</w:t>
      </w:r>
      <w:r>
        <w:rPr>
          <w:rFonts w:hint="eastAsia" w:ascii="宋体" w:hAnsi="宋体"/>
          <w:color w:val="auto"/>
          <w:sz w:val="24"/>
          <w:u w:val="single"/>
        </w:rPr>
        <w:t xml:space="preserve">        </w:t>
      </w:r>
      <w:r>
        <w:rPr>
          <w:rFonts w:hint="eastAsia" w:ascii="宋体" w:hAnsi="宋体"/>
          <w:color w:val="auto"/>
          <w:sz w:val="24"/>
          <w:u w:val="single"/>
          <w:lang w:val="en-US" w:eastAsia="zh-CN"/>
        </w:rPr>
        <w:t>/</w:t>
      </w:r>
      <w:r>
        <w:rPr>
          <w:rFonts w:hint="eastAsia" w:ascii="宋体" w:hAnsi="宋体"/>
          <w:color w:val="auto"/>
          <w:sz w:val="24"/>
          <w:u w:val="single"/>
        </w:rPr>
        <w:t xml:space="preserve">        </w:t>
      </w:r>
      <w:r>
        <w:rPr>
          <w:rFonts w:hint="eastAsia" w:ascii="宋体" w:hAnsi="宋体"/>
          <w:color w:val="auto"/>
          <w:sz w:val="24"/>
        </w:rPr>
        <w:t>。</w:t>
      </w:r>
    </w:p>
    <w:bookmarkEnd w:id="294"/>
    <w:bookmarkEnd w:id="295"/>
    <w:bookmarkEnd w:id="296"/>
    <w:bookmarkEnd w:id="297"/>
    <w:bookmarkEnd w:id="298"/>
    <w:bookmarkEnd w:id="299"/>
    <w:p w14:paraId="7DC98CA3">
      <w:pPr>
        <w:spacing w:before="120" w:after="120" w:line="360" w:lineRule="auto"/>
        <w:jc w:val="left"/>
        <w:rPr>
          <w:rFonts w:hint="eastAsia" w:ascii="宋体" w:hAnsi="宋体" w:eastAsia="宋体" w:cs="宋体"/>
          <w:b w:val="0"/>
          <w:bCs/>
          <w:color w:val="auto"/>
          <w:sz w:val="24"/>
          <w:lang w:val="en-US" w:eastAsia="zh-CN"/>
        </w:rPr>
      </w:pPr>
      <w:bookmarkStart w:id="407" w:name="_Toc296891245"/>
      <w:bookmarkStart w:id="408" w:name="_Toc296944544"/>
      <w:bookmarkStart w:id="409" w:name="_Toc296503205"/>
      <w:bookmarkStart w:id="410" w:name="_Toc297048391"/>
      <w:bookmarkStart w:id="411" w:name="_Toc296347204"/>
      <w:bookmarkStart w:id="412" w:name="_Toc292559410"/>
      <w:bookmarkStart w:id="413" w:name="_Toc297120505"/>
      <w:bookmarkStart w:id="414" w:name="_Toc292559915"/>
      <w:bookmarkStart w:id="415" w:name="_Toc296346706"/>
      <w:bookmarkStart w:id="416" w:name="_Toc296891033"/>
      <w:bookmarkStart w:id="417" w:name="_Toc351203644"/>
      <w:bookmarkStart w:id="418" w:name="_Toc297216211"/>
      <w:bookmarkStart w:id="419" w:name="_Toc297123552"/>
      <w:bookmarkStart w:id="420" w:name="_Toc300935002"/>
      <w:bookmarkStart w:id="421" w:name="_Toc312678040"/>
      <w:bookmarkStart w:id="422" w:name="_Toc303539159"/>
      <w:bookmarkStart w:id="423" w:name="_Toc304295579"/>
      <w:r>
        <w:rPr>
          <w:rFonts w:hint="eastAsia" w:ascii="宋体" w:hAnsi="宋体" w:eastAsia="宋体" w:cs="宋体"/>
          <w:b w:val="0"/>
          <w:bCs/>
          <w:color w:val="auto"/>
          <w:sz w:val="24"/>
          <w:lang w:val="en-US" w:eastAsia="zh-CN"/>
        </w:rPr>
        <w:t>11.人工价差调整</w:t>
      </w:r>
    </w:p>
    <w:p w14:paraId="100348C2">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①人工费调整执行政府发布的人工费调整文件。调整方法为：合同期间政府发布的人工费调整文件中的综合人工单价与投标期政府发布的人</w:t>
      </w:r>
      <w:r>
        <w:rPr>
          <w:rFonts w:hint="eastAsia" w:ascii="宋体" w:hAnsi="宋体" w:eastAsia="宋体" w:cs="宋体"/>
          <w:b w:val="0"/>
          <w:bCs/>
          <w:color w:val="auto"/>
          <w:sz w:val="24"/>
          <w:highlight w:val="none"/>
          <w:lang w:val="en-US" w:eastAsia="zh-CN"/>
        </w:rPr>
        <w:t>工费调整文件（即陕建发【2021】1097号文）中规定的综合人工单价调差。</w:t>
      </w:r>
    </w:p>
    <w:p w14:paraId="3113E02B">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②按上述情形对合同价格进行调整时，因承包方原因导致工期延误在正常竣工日之后发生的人工费调整以不利于承包人的方式处理。因承包人原因造成工期延误，在工程延误期间出现法律变化的，由此增加的费用和（或）延误的工期由承包人承担。</w:t>
      </w:r>
    </w:p>
    <w:p w14:paraId="17C427DD">
      <w:pPr>
        <w:spacing w:before="120" w:after="120" w:line="360" w:lineRule="auto"/>
        <w:ind w:firstLine="480" w:firstLineChars="200"/>
        <w:jc w:val="left"/>
        <w:rPr>
          <w:rFonts w:hint="default"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③价差可以计取规费、税金。</w:t>
      </w:r>
    </w:p>
    <w:p w14:paraId="555771A8">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12. </w:t>
      </w:r>
      <w:bookmarkEnd w:id="407"/>
      <w:bookmarkEnd w:id="408"/>
      <w:bookmarkEnd w:id="409"/>
      <w:bookmarkEnd w:id="410"/>
      <w:bookmarkEnd w:id="411"/>
      <w:bookmarkEnd w:id="412"/>
      <w:bookmarkEnd w:id="413"/>
      <w:bookmarkEnd w:id="414"/>
      <w:bookmarkEnd w:id="415"/>
      <w:bookmarkEnd w:id="416"/>
      <w:r>
        <w:rPr>
          <w:rFonts w:hint="eastAsia" w:ascii="宋体" w:hAnsi="宋体" w:eastAsia="宋体" w:cs="宋体"/>
          <w:b w:val="0"/>
          <w:bCs/>
          <w:color w:val="auto"/>
          <w:sz w:val="24"/>
        </w:rPr>
        <w:t>合同价格、计量与支付</w:t>
      </w:r>
      <w:bookmarkEnd w:id="417"/>
    </w:p>
    <w:bookmarkEnd w:id="418"/>
    <w:bookmarkEnd w:id="419"/>
    <w:bookmarkEnd w:id="420"/>
    <w:bookmarkEnd w:id="421"/>
    <w:bookmarkEnd w:id="422"/>
    <w:bookmarkEnd w:id="423"/>
    <w:p w14:paraId="7D9A8285">
      <w:pPr>
        <w:spacing w:after="120" w:line="360" w:lineRule="auto"/>
        <w:ind w:firstLine="480" w:firstLineChars="200"/>
        <w:rPr>
          <w:rFonts w:hint="eastAsia" w:ascii="宋体" w:hAnsi="宋体" w:eastAsia="宋体" w:cs="宋体"/>
          <w:b w:val="0"/>
          <w:bCs/>
          <w:color w:val="auto"/>
          <w:sz w:val="24"/>
        </w:rPr>
      </w:pPr>
      <w:bookmarkStart w:id="424" w:name="_Toc292559411"/>
      <w:bookmarkStart w:id="425" w:name="_Toc267251461"/>
      <w:bookmarkStart w:id="426" w:name="_Toc292559916"/>
      <w:bookmarkStart w:id="427" w:name="_Toc296347205"/>
      <w:bookmarkStart w:id="428" w:name="_Toc296503206"/>
      <w:bookmarkStart w:id="429" w:name="_Toc296891034"/>
      <w:bookmarkStart w:id="430" w:name="_Toc297120506"/>
      <w:bookmarkStart w:id="431" w:name="_Toc296346707"/>
      <w:bookmarkStart w:id="432" w:name="_Toc296891246"/>
      <w:bookmarkStart w:id="433" w:name="_Toc296944545"/>
      <w:bookmarkStart w:id="434" w:name="_Toc297048392"/>
      <w:bookmarkStart w:id="435" w:name="_Toc312678041"/>
      <w:bookmarkStart w:id="436" w:name="_Toc297216212"/>
      <w:bookmarkStart w:id="437" w:name="_Toc303539160"/>
      <w:bookmarkStart w:id="438" w:name="_Toc300935003"/>
      <w:bookmarkStart w:id="439" w:name="_Toc304295580"/>
      <w:bookmarkStart w:id="440" w:name="_Toc297123553"/>
      <w:r>
        <w:rPr>
          <w:rFonts w:hint="eastAsia" w:ascii="宋体" w:hAnsi="宋体" w:eastAsia="宋体" w:cs="宋体"/>
          <w:b w:val="0"/>
          <w:bCs/>
          <w:color w:val="auto"/>
          <w:sz w:val="24"/>
        </w:rPr>
        <w:t>12.1 合</w:t>
      </w:r>
      <w:bookmarkEnd w:id="424"/>
      <w:bookmarkEnd w:id="425"/>
      <w:bookmarkEnd w:id="426"/>
      <w:r>
        <w:rPr>
          <w:rFonts w:hint="eastAsia" w:ascii="宋体" w:hAnsi="宋体" w:eastAsia="宋体" w:cs="宋体"/>
          <w:b w:val="0"/>
          <w:bCs/>
          <w:color w:val="auto"/>
          <w:sz w:val="24"/>
        </w:rPr>
        <w:t>同价</w:t>
      </w:r>
      <w:bookmarkEnd w:id="427"/>
      <w:bookmarkEnd w:id="428"/>
      <w:bookmarkEnd w:id="429"/>
      <w:bookmarkEnd w:id="430"/>
      <w:bookmarkEnd w:id="431"/>
      <w:bookmarkEnd w:id="432"/>
      <w:bookmarkEnd w:id="433"/>
      <w:bookmarkEnd w:id="434"/>
      <w:r>
        <w:rPr>
          <w:rFonts w:hint="eastAsia" w:ascii="宋体" w:hAnsi="宋体" w:eastAsia="宋体" w:cs="宋体"/>
          <w:b w:val="0"/>
          <w:bCs/>
          <w:color w:val="auto"/>
          <w:sz w:val="24"/>
        </w:rPr>
        <w:t>格形式</w:t>
      </w:r>
    </w:p>
    <w:p w14:paraId="03DBEB76">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sz w:val="24"/>
        </w:rPr>
        <w:t>本合同价款采用第</w:t>
      </w:r>
      <w:r>
        <w:rPr>
          <w:rFonts w:hint="eastAsia" w:ascii="宋体" w:hAnsi="宋体" w:eastAsia="宋体" w:cs="宋体"/>
          <w:b w:val="0"/>
          <w:bCs/>
          <w:color w:val="auto"/>
          <w:sz w:val="24"/>
          <w:u w:val="single"/>
        </w:rPr>
        <w:t xml:space="preserve"> 1 </w:t>
      </w:r>
      <w:r>
        <w:rPr>
          <w:rFonts w:hint="eastAsia" w:ascii="宋体" w:hAnsi="宋体" w:eastAsia="宋体" w:cs="宋体"/>
          <w:b w:val="0"/>
          <w:bCs/>
          <w:color w:val="auto"/>
          <w:sz w:val="24"/>
        </w:rPr>
        <w:t>种方式确定。</w:t>
      </w:r>
    </w:p>
    <w:bookmarkEnd w:id="435"/>
    <w:bookmarkEnd w:id="436"/>
    <w:bookmarkEnd w:id="437"/>
    <w:bookmarkEnd w:id="438"/>
    <w:bookmarkEnd w:id="439"/>
    <w:bookmarkEnd w:id="440"/>
    <w:p w14:paraId="046D3D4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w:t>
      </w:r>
    </w:p>
    <w:p w14:paraId="636F05D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综合单价包含的风险范围：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人工工资、材料费、施工机械使用费、管理费、利润等变化及其他风险因素（施工期间国家及地方造价主管部门发布的相关调价文件除外，即双方按调价文件规定予以执行）</w:t>
      </w:r>
      <w:r>
        <w:rPr>
          <w:rFonts w:hint="eastAsia" w:ascii="宋体" w:hAnsi="宋体" w:eastAsia="宋体" w:cs="宋体"/>
          <w:b w:val="0"/>
          <w:bCs/>
          <w:color w:val="auto"/>
          <w:sz w:val="24"/>
          <w:u w:val="single"/>
        </w:rPr>
        <w:t xml:space="preserve">。 </w:t>
      </w:r>
    </w:p>
    <w:p w14:paraId="12B9524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7409305">
      <w:pPr>
        <w:tabs>
          <w:tab w:val="left" w:pos="525"/>
          <w:tab w:val="left" w:pos="1200"/>
        </w:tabs>
        <w:snapToGrid w:val="0"/>
        <w:spacing w:line="360" w:lineRule="auto"/>
        <w:ind w:firstLine="460" w:firstLineChars="192"/>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p>
    <w:p w14:paraId="5208EC6D">
      <w:pPr>
        <w:tabs>
          <w:tab w:val="left" w:pos="525"/>
          <w:tab w:val="left" w:pos="1200"/>
        </w:tabs>
        <w:snapToGrid w:val="0"/>
        <w:spacing w:line="360" w:lineRule="auto"/>
        <w:ind w:firstLine="460" w:firstLineChars="192"/>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1）</w:t>
      </w:r>
      <w:r>
        <w:rPr>
          <w:rFonts w:hint="eastAsia" w:ascii="宋体" w:hAnsi="宋体" w:eastAsia="宋体" w:cs="宋体"/>
          <w:b w:val="0"/>
          <w:bCs/>
          <w:color w:val="auto"/>
          <w:sz w:val="24"/>
          <w:highlight w:val="none"/>
          <w:u w:val="single"/>
        </w:rPr>
        <w:t>凡综合单价中涉及发包人在招标文件及答疑纪要中规定的指定价项目，结算时按发包人确认的单价与上述指定价的差额，置于综合单价的风险范围外位置</w:t>
      </w:r>
      <w:r>
        <w:rPr>
          <w:rFonts w:hint="eastAsia" w:ascii="宋体" w:hAnsi="宋体" w:eastAsia="宋体" w:cs="宋体"/>
          <w:b w:val="0"/>
          <w:bCs/>
          <w:color w:val="auto"/>
          <w:sz w:val="24"/>
          <w:u w:val="single"/>
        </w:rPr>
        <w:t>。</w:t>
      </w:r>
    </w:p>
    <w:p w14:paraId="068AF4EA">
      <w:pPr>
        <w:snapToGri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lang w:val="en-US" w:eastAsia="zh-CN"/>
        </w:rPr>
        <w:t>4</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rPr>
        <w:t>以上综合单价调整措施费不调整</w:t>
      </w:r>
      <w:r>
        <w:rPr>
          <w:rFonts w:hint="eastAsia" w:ascii="宋体" w:hAnsi="宋体" w:eastAsia="宋体" w:cs="宋体"/>
          <w:bCs/>
          <w:color w:val="auto"/>
          <w:sz w:val="24"/>
          <w:szCs w:val="24"/>
        </w:rPr>
        <w:t>。</w:t>
      </w:r>
    </w:p>
    <w:p w14:paraId="231BDB1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w:t>
      </w:r>
    </w:p>
    <w:p w14:paraId="0E75B06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总价包含的风险范围：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3871C8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24A801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79E1B6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CFBB220">
      <w:pPr>
        <w:spacing w:after="120" w:line="360" w:lineRule="auto"/>
        <w:ind w:firstLine="480" w:firstLineChars="200"/>
        <w:rPr>
          <w:rFonts w:hint="eastAsia" w:ascii="宋体" w:hAnsi="宋体" w:eastAsia="宋体" w:cs="宋体"/>
          <w:b w:val="0"/>
          <w:bCs/>
          <w:color w:val="auto"/>
          <w:sz w:val="24"/>
        </w:rPr>
      </w:pPr>
      <w:bookmarkStart w:id="441" w:name="_Toc303539161"/>
      <w:bookmarkStart w:id="442" w:name="_Toc297216213"/>
      <w:bookmarkStart w:id="443" w:name="_Toc312678042"/>
      <w:bookmarkStart w:id="444" w:name="_Toc300935004"/>
      <w:bookmarkStart w:id="445" w:name="_Toc304295581"/>
      <w:bookmarkStart w:id="446" w:name="_Toc297123554"/>
      <w:bookmarkStart w:id="447" w:name="_Toc297120507"/>
      <w:bookmarkStart w:id="448" w:name="_Toc297048393"/>
      <w:bookmarkStart w:id="449" w:name="_Toc296346708"/>
      <w:bookmarkStart w:id="450" w:name="_Toc292559412"/>
      <w:bookmarkStart w:id="451" w:name="_Toc296347206"/>
      <w:bookmarkStart w:id="452" w:name="_Toc296503207"/>
      <w:bookmarkStart w:id="453" w:name="_Toc296944546"/>
      <w:bookmarkStart w:id="454" w:name="_Toc296891035"/>
      <w:bookmarkStart w:id="455" w:name="_Toc292559917"/>
      <w:bookmarkStart w:id="456" w:name="_Toc296891247"/>
      <w:r>
        <w:rPr>
          <w:rFonts w:hint="eastAsia" w:ascii="宋体" w:hAnsi="宋体" w:eastAsia="宋体" w:cs="宋体"/>
          <w:b w:val="0"/>
          <w:bCs/>
          <w:color w:val="auto"/>
          <w:sz w:val="24"/>
        </w:rPr>
        <w:t>12.2 预付款</w:t>
      </w:r>
    </w:p>
    <w:bookmarkEnd w:id="441"/>
    <w:bookmarkEnd w:id="442"/>
    <w:bookmarkEnd w:id="443"/>
    <w:bookmarkEnd w:id="444"/>
    <w:bookmarkEnd w:id="445"/>
    <w:bookmarkEnd w:id="446"/>
    <w:p w14:paraId="4A24DB6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12.2.1 预付款的支付</w:t>
      </w:r>
    </w:p>
    <w:p w14:paraId="4B32F87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预付款支付比例或金额：</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86A850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36427B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预付款扣回的方式：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E1E644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12.2.2 预付款担保</w:t>
      </w:r>
    </w:p>
    <w:p w14:paraId="5D7092F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承包人提交预付款担保的期限：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FAA342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预付款担保的形式为：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447"/>
    <w:bookmarkEnd w:id="448"/>
    <w:bookmarkEnd w:id="449"/>
    <w:bookmarkEnd w:id="450"/>
    <w:bookmarkEnd w:id="451"/>
    <w:bookmarkEnd w:id="452"/>
    <w:bookmarkEnd w:id="453"/>
    <w:bookmarkEnd w:id="454"/>
    <w:bookmarkEnd w:id="455"/>
    <w:bookmarkEnd w:id="456"/>
    <w:p w14:paraId="123C10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12.3 计量</w:t>
      </w:r>
    </w:p>
    <w:p w14:paraId="082024B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12.3.1 计量原则</w:t>
      </w:r>
    </w:p>
    <w:p w14:paraId="124A4DD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工程量计算规则：</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陕西省建设工程工程量清单计价标准及计算标准（2025）》、《陕西省房屋建筑与装饰工程消耗量定额（2025）》及《陕西省通用安装工程消耗量定额（2025））》、《陕西市政工程消耗量定额（2025）》、《陕西省园林绿化工程消耗量定额（2025）》、《陕西省房屋建筑与装饰工程基价表（2025）》、</w:t>
      </w:r>
      <w:r>
        <w:rPr>
          <w:rFonts w:hint="eastAsia" w:ascii="新宋体" w:hAnsi="新宋体" w:eastAsia="新宋体" w:cs="Times New Roman"/>
          <w:color w:val="000000"/>
          <w:sz w:val="24"/>
          <w:szCs w:val="24"/>
          <w:u w:val="single"/>
          <w:shd w:val="clear" w:color="auto" w:fill="auto"/>
          <w:lang w:val="zh-CN" w:eastAsia="zh-CN"/>
        </w:rPr>
        <w:t>《陕西省</w:t>
      </w:r>
      <w:r>
        <w:rPr>
          <w:rFonts w:hint="eastAsia" w:ascii="新宋体" w:hAnsi="新宋体" w:eastAsia="新宋体" w:cs="Times New Roman"/>
          <w:color w:val="000000"/>
          <w:sz w:val="24"/>
          <w:szCs w:val="24"/>
          <w:u w:val="single"/>
          <w:shd w:val="clear" w:color="auto" w:fill="auto"/>
          <w:lang w:val="en-US" w:eastAsia="zh-CN"/>
        </w:rPr>
        <w:t>通用安装工程基价表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）》、《陕西</w:t>
      </w:r>
      <w:r>
        <w:rPr>
          <w:rFonts w:hint="eastAsia" w:ascii="新宋体" w:hAnsi="新宋体" w:eastAsia="新宋体" w:cs="Times New Roman"/>
          <w:color w:val="000000"/>
          <w:sz w:val="24"/>
          <w:szCs w:val="24"/>
          <w:u w:val="single"/>
          <w:shd w:val="clear" w:color="auto" w:fill="auto"/>
          <w:lang w:val="en-US" w:eastAsia="zh-CN"/>
        </w:rPr>
        <w:t>省市政工程基价表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新宋体" w:hAnsi="新宋体" w:eastAsia="新宋体" w:cs="Times New Roman"/>
          <w:color w:val="000000"/>
          <w:sz w:val="24"/>
          <w:szCs w:val="24"/>
          <w:u w:val="single"/>
          <w:shd w:val="clear" w:color="auto" w:fill="auto"/>
          <w:lang w:val="en-US" w:eastAsia="zh-CN"/>
        </w:rPr>
        <w:t>陕西省园林绿化工程基价表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ECCC7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12.3.2 计量周期</w:t>
      </w:r>
    </w:p>
    <w:p w14:paraId="67F140E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关于计量周期的约定：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D1FDB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12.3.3 单价合同的计量</w:t>
      </w:r>
    </w:p>
    <w:p w14:paraId="45AC42F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关于单价合同计量的约定：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C8DF49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12.3.4 总价合同的计量</w:t>
      </w:r>
    </w:p>
    <w:p w14:paraId="35FBF05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关于总价合同计量的约定：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E5D90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12.3.5总价合同采用支付分解表计量支付的，是否适用第12.3.4 项〔总价合同的计量〕约定进行计量：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2533EC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12.3.6 其他价格形式合同的计量</w:t>
      </w:r>
    </w:p>
    <w:p w14:paraId="147C262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其他价格形式的计量方式和程序：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2C7EC43">
      <w:pPr>
        <w:spacing w:after="120"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12</w:t>
      </w:r>
      <w:r>
        <w:rPr>
          <w:rFonts w:hint="eastAsia" w:ascii="宋体" w:hAnsi="宋体" w:eastAsia="宋体" w:cs="宋体"/>
          <w:b w:val="0"/>
          <w:bCs/>
          <w:color w:val="auto"/>
          <w:sz w:val="24"/>
          <w:highlight w:val="none"/>
        </w:rPr>
        <w:t>.4 工程进度款支付</w:t>
      </w:r>
    </w:p>
    <w:p w14:paraId="02AAC3FB">
      <w:pPr>
        <w:snapToGrid w:val="0"/>
        <w:spacing w:line="360" w:lineRule="auto"/>
        <w:ind w:firstLine="480" w:firstLineChars="200"/>
        <w:jc w:val="left"/>
        <w:rPr>
          <w:rFonts w:ascii="宋体" w:hAnsi="宋体" w:eastAsia="宋体" w:cs="宋体"/>
          <w:b w:val="0"/>
          <w:bCs/>
          <w:color w:val="auto"/>
          <w:sz w:val="24"/>
          <w:szCs w:val="24"/>
        </w:rPr>
      </w:pPr>
      <w:bookmarkStart w:id="457" w:name="_Toc296944550"/>
      <w:bookmarkStart w:id="458" w:name="_Toc297123556"/>
      <w:bookmarkStart w:id="459" w:name="_Toc292559921"/>
      <w:bookmarkStart w:id="460" w:name="_Toc303539163"/>
      <w:bookmarkStart w:id="461" w:name="_Toc297120511"/>
      <w:bookmarkStart w:id="462" w:name="_Toc296891251"/>
      <w:bookmarkStart w:id="463" w:name="_Toc296891039"/>
      <w:bookmarkStart w:id="464" w:name="_Toc296503211"/>
      <w:bookmarkStart w:id="465" w:name="_Toc297216215"/>
      <w:bookmarkStart w:id="466" w:name="_Toc297048397"/>
      <w:bookmarkStart w:id="467" w:name="_Toc296347210"/>
      <w:bookmarkStart w:id="468" w:name="_Toc292559416"/>
      <w:bookmarkStart w:id="469" w:name="_Toc300935006"/>
      <w:bookmarkStart w:id="470" w:name="_Toc296346712"/>
      <w:r>
        <w:rPr>
          <w:rFonts w:hint="eastAsia" w:ascii="宋体" w:hAnsi="宋体" w:eastAsia="宋体" w:cs="宋体"/>
          <w:b w:val="0"/>
          <w:bCs/>
          <w:color w:val="auto"/>
          <w:sz w:val="24"/>
          <w:szCs w:val="24"/>
        </w:rPr>
        <w:t>12.4.1 付款周期</w:t>
      </w:r>
    </w:p>
    <w:p w14:paraId="187D5845">
      <w:pPr>
        <w:snapToGrid w:val="0"/>
        <w:spacing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关于付款周期的约定:</w:t>
      </w:r>
      <w:r>
        <w:rPr>
          <w:rFonts w:hint="eastAsia" w:ascii="宋体" w:hAnsi="宋体" w:eastAsia="宋体" w:cs="宋体"/>
          <w:b w:val="0"/>
          <w:bCs/>
          <w:color w:val="auto"/>
          <w:sz w:val="24"/>
          <w:szCs w:val="24"/>
          <w:highlight w:val="none"/>
          <w:u w:val="single"/>
          <w:lang w:val="en-US" w:eastAsia="zh-CN"/>
        </w:rPr>
        <w:t xml:space="preserve">                            。</w:t>
      </w:r>
    </w:p>
    <w:p w14:paraId="782F905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12.4.2 进度付款申请单的编制</w:t>
      </w:r>
    </w:p>
    <w:p w14:paraId="1933B67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关于进度付款申请单编制的约定：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4DA36E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hint="eastAsia" w:ascii="宋体" w:hAnsi="宋体" w:eastAsia="宋体" w:cs="宋体"/>
          <w:b w:val="0"/>
          <w:bCs/>
          <w:color w:val="auto"/>
          <w:sz w:val="24"/>
        </w:rPr>
        <w:t>2.4.3 进度付款申请单的提交</w:t>
      </w:r>
    </w:p>
    <w:p w14:paraId="12AFC11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（1）单价合同进度付款申请单提交的约定：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3373C1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737153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（3）其他价格形式合同进度付款申请单提交的约定：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B957AC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12.4.4 进度款审核和支付</w:t>
      </w:r>
    </w:p>
    <w:p w14:paraId="5DA723CD">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（1）监理人审查并报送发包人的期限：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收到申请7天内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8D4E64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发包人完成审批并签发进度款支付证书的期限：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7198F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（2）发包人支付进度款的期限：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456794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发包人逾期支付进度款的违约金的计算方式：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1F410CE">
      <w:pPr>
        <w:spacing w:line="360" w:lineRule="auto"/>
        <w:ind w:firstLine="600" w:firstLineChars="250"/>
        <w:jc w:val="left"/>
        <w:rPr>
          <w:rFonts w:hint="eastAsia" w:ascii="宋体" w:hAnsi="宋体" w:eastAsia="宋体" w:cs="宋体"/>
          <w:b w:val="0"/>
          <w:bCs/>
          <w:color w:val="auto"/>
          <w:sz w:val="24"/>
        </w:rPr>
      </w:pPr>
      <w:r>
        <w:rPr>
          <w:rFonts w:hint="eastAsia" w:ascii="宋体" w:hAnsi="宋体" w:eastAsia="宋体" w:cs="宋体"/>
          <w:b w:val="0"/>
          <w:bCs/>
          <w:color w:val="auto"/>
          <w:sz w:val="24"/>
        </w:rPr>
        <w:t>12.4.6 支付分解表的编制</w:t>
      </w:r>
    </w:p>
    <w:p w14:paraId="2DC5B0EF">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B32A3D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3、单价合同的总价项目支付分解表的编制与审批：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00"/>
    <w:p w14:paraId="5B82FC62">
      <w:pPr>
        <w:spacing w:before="120" w:after="120" w:line="360" w:lineRule="auto"/>
        <w:jc w:val="left"/>
        <w:rPr>
          <w:rFonts w:hint="eastAsia" w:ascii="宋体" w:hAnsi="宋体" w:eastAsia="宋体" w:cs="宋体"/>
          <w:b w:val="0"/>
          <w:bCs/>
          <w:color w:val="auto"/>
          <w:sz w:val="24"/>
        </w:rPr>
      </w:pPr>
      <w:bookmarkStart w:id="471" w:name="_Toc351203645"/>
      <w:bookmarkStart w:id="472" w:name="_Toc297048405"/>
      <w:bookmarkStart w:id="473" w:name="_Toc304295593"/>
      <w:bookmarkStart w:id="474" w:name="_Toc297123564"/>
      <w:bookmarkStart w:id="475" w:name="_Toc300935015"/>
      <w:bookmarkStart w:id="476" w:name="_Toc296503219"/>
      <w:bookmarkStart w:id="477" w:name="_Toc297120519"/>
      <w:bookmarkStart w:id="478" w:name="_Toc303539172"/>
      <w:bookmarkStart w:id="479" w:name="_Toc292559929"/>
      <w:bookmarkStart w:id="480" w:name="_Toc296891047"/>
      <w:bookmarkStart w:id="481" w:name="_Toc297216223"/>
      <w:bookmarkStart w:id="482" w:name="_Toc296347218"/>
      <w:bookmarkStart w:id="483" w:name="_Toc296346720"/>
      <w:bookmarkStart w:id="484" w:name="_Toc312678053"/>
      <w:bookmarkStart w:id="485" w:name="_Toc292559424"/>
      <w:bookmarkStart w:id="486" w:name="_Toc296944558"/>
      <w:bookmarkStart w:id="487" w:name="_Toc296891259"/>
      <w:r>
        <w:rPr>
          <w:rFonts w:hint="eastAsia" w:ascii="宋体" w:hAnsi="宋体" w:eastAsia="宋体" w:cs="宋体"/>
          <w:b w:val="0"/>
          <w:bCs/>
          <w:color w:val="auto"/>
          <w:sz w:val="24"/>
        </w:rPr>
        <w:t>13. 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5F4C9DC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13.1 分部分项工程验收</w:t>
      </w:r>
    </w:p>
    <w:p w14:paraId="16D93D1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13.1.2监理人不能按时进行验收时，应提前</w:t>
      </w:r>
      <w:r>
        <w:rPr>
          <w:rFonts w:hint="eastAsia" w:ascii="宋体" w:hAnsi="宋体" w:eastAsia="宋体" w:cs="宋体"/>
          <w:b w:val="0"/>
          <w:bCs/>
          <w:color w:val="auto"/>
          <w:sz w:val="24"/>
          <w:u w:val="single"/>
        </w:rPr>
        <w:t xml:space="preserve">   24  </w:t>
      </w:r>
      <w:r>
        <w:rPr>
          <w:rFonts w:hint="eastAsia" w:ascii="宋体" w:hAnsi="宋体" w:eastAsia="宋体" w:cs="宋体"/>
          <w:b w:val="0"/>
          <w:bCs/>
          <w:color w:val="auto"/>
          <w:sz w:val="24"/>
        </w:rPr>
        <w:t>小时提交书面延期要求。</w:t>
      </w:r>
    </w:p>
    <w:p w14:paraId="547EE54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关于延期最长不得超过：</w:t>
      </w:r>
      <w:r>
        <w:rPr>
          <w:rFonts w:hint="eastAsia" w:ascii="宋体" w:hAnsi="宋体" w:eastAsia="宋体" w:cs="宋体"/>
          <w:b w:val="0"/>
          <w:bCs/>
          <w:color w:val="auto"/>
          <w:sz w:val="24"/>
          <w:u w:val="single"/>
        </w:rPr>
        <w:t xml:space="preserve">  48    </w:t>
      </w:r>
      <w:r>
        <w:rPr>
          <w:rFonts w:hint="eastAsia" w:ascii="宋体" w:hAnsi="宋体" w:eastAsia="宋体" w:cs="宋体"/>
          <w:b w:val="0"/>
          <w:bCs/>
          <w:color w:val="auto"/>
          <w:sz w:val="24"/>
        </w:rPr>
        <w:t>小时。</w:t>
      </w:r>
    </w:p>
    <w:p w14:paraId="439F6B6D">
      <w:pPr>
        <w:spacing w:after="120" w:line="360" w:lineRule="auto"/>
        <w:ind w:firstLine="480" w:firstLineChars="200"/>
        <w:rPr>
          <w:rFonts w:hint="eastAsia" w:ascii="宋体" w:hAnsi="宋体" w:eastAsia="宋体" w:cs="宋体"/>
          <w:b w:val="0"/>
          <w:bCs/>
          <w:color w:val="auto"/>
          <w:sz w:val="24"/>
        </w:rPr>
      </w:pPr>
      <w:bookmarkStart w:id="488" w:name="_Toc297120523"/>
      <w:bookmarkStart w:id="489" w:name="_Toc292559428"/>
      <w:bookmarkStart w:id="490" w:name="_Toc304295596"/>
      <w:bookmarkStart w:id="491" w:name="_Toc296944562"/>
      <w:bookmarkStart w:id="492" w:name="_Toc297216224"/>
      <w:bookmarkStart w:id="493" w:name="_Toc296891051"/>
      <w:bookmarkStart w:id="494" w:name="_Toc296347222"/>
      <w:bookmarkStart w:id="495" w:name="_Toc296503223"/>
      <w:bookmarkStart w:id="496" w:name="_Toc292559933"/>
      <w:bookmarkStart w:id="497" w:name="_Toc303539173"/>
      <w:bookmarkStart w:id="498" w:name="_Toc300935016"/>
      <w:bookmarkStart w:id="499" w:name="_Toc296891263"/>
      <w:bookmarkStart w:id="500" w:name="_Toc297048409"/>
      <w:bookmarkStart w:id="501" w:name="_Toc296346724"/>
      <w:bookmarkStart w:id="502" w:name="_Toc312678056"/>
      <w:bookmarkStart w:id="503" w:name="_Toc297123565"/>
      <w:bookmarkStart w:id="504" w:name="_Toc267251471"/>
      <w:bookmarkStart w:id="505" w:name="_Toc267251470"/>
      <w:bookmarkStart w:id="506" w:name="_Toc267251473"/>
      <w:bookmarkStart w:id="507" w:name="_Toc267251472"/>
      <w:bookmarkStart w:id="508" w:name="_Toc267251474"/>
      <w:bookmarkStart w:id="509" w:name="_Toc267251475"/>
      <w:bookmarkStart w:id="510" w:name="_Toc267251476"/>
      <w:r>
        <w:rPr>
          <w:rFonts w:hint="eastAsia" w:ascii="宋体" w:hAnsi="宋体" w:eastAsia="宋体" w:cs="宋体"/>
          <w:b w:val="0"/>
          <w:bCs/>
          <w:color w:val="auto"/>
          <w:sz w:val="24"/>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18130E6F">
      <w:pPr>
        <w:spacing w:line="360" w:lineRule="auto"/>
        <w:ind w:firstLine="480" w:firstLineChars="200"/>
        <w:jc w:val="left"/>
        <w:rPr>
          <w:rFonts w:hint="eastAsia" w:ascii="宋体" w:hAnsi="宋体" w:eastAsia="宋体" w:cs="宋体"/>
          <w:b w:val="0"/>
          <w:bCs/>
          <w:color w:val="auto"/>
          <w:sz w:val="24"/>
        </w:rPr>
      </w:pPr>
      <w:bookmarkStart w:id="511" w:name="_Toc280868704"/>
      <w:bookmarkStart w:id="512" w:name="_Toc280868705"/>
      <w:bookmarkStart w:id="513" w:name="_Toc280868706"/>
      <w:bookmarkStart w:id="514" w:name="_Toc280868707"/>
      <w:bookmarkStart w:id="515" w:name="_Toc280868708"/>
      <w:bookmarkStart w:id="516" w:name="_Toc280868709"/>
      <w:r>
        <w:rPr>
          <w:rFonts w:hint="eastAsia" w:ascii="宋体" w:hAnsi="宋体" w:eastAsia="宋体" w:cs="宋体"/>
          <w:b w:val="0"/>
          <w:bCs/>
          <w:color w:val="auto"/>
          <w:sz w:val="24"/>
        </w:rPr>
        <w:t>13.2.2竣工验收程序</w:t>
      </w:r>
    </w:p>
    <w:bookmarkEnd w:id="511"/>
    <w:p w14:paraId="44F96E37">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关于竣工验收程序的约定：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171A1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发包人不按照本项约定组织竣工验收、颁发工程接收证书的违约金的计算方法：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2"/>
    <w:p w14:paraId="59B0993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13.2.5移交、接收全部与部分工程</w:t>
      </w:r>
    </w:p>
    <w:bookmarkEnd w:id="513"/>
    <w:p w14:paraId="4C33985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承包人向发包人移交工程的期限：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696BBB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发包人未按本合同约定接收全部或部分工程的，违约金的计算方法：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32"/>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4"/>
    <w:p w14:paraId="07E93E0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承包人未按时移交工程的，违约金的计算方法为：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C3323F6">
      <w:pPr>
        <w:keepNext w:val="0"/>
        <w:keepLines w:val="0"/>
        <w:pageBreakBefore w:val="0"/>
        <w:widowControl w:val="0"/>
        <w:kinsoku/>
        <w:wordWrap/>
        <w:overflowPunct/>
        <w:topLinePunct w:val="0"/>
        <w:autoSpaceDE/>
        <w:autoSpaceDN/>
        <w:bidi w:val="0"/>
        <w:adjustRightInd/>
        <w:snapToGrid/>
        <w:spacing w:after="120" w:line="360" w:lineRule="exact"/>
        <w:ind w:firstLine="480" w:firstLineChars="200"/>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13.3 工程试车</w:t>
      </w:r>
    </w:p>
    <w:bookmarkEnd w:id="515"/>
    <w:p w14:paraId="693C1AB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13.3.1 试车程序</w:t>
      </w:r>
    </w:p>
    <w:p w14:paraId="0F6E577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工程试车内容：</w:t>
      </w:r>
      <w:r>
        <w:rPr>
          <w:rFonts w:hint="eastAsia" w:ascii="宋体" w:hAnsi="宋体" w:eastAsia="宋体" w:cs="宋体"/>
          <w:b w:val="0"/>
          <w:bCs/>
          <w:color w:val="auto"/>
          <w:sz w:val="24"/>
          <w:u w:val="single"/>
        </w:rPr>
        <w:t xml:space="preserve">  若需试车，试车费用由承包人承担   </w:t>
      </w:r>
      <w:r>
        <w:rPr>
          <w:rFonts w:hint="eastAsia" w:ascii="宋体" w:hAnsi="宋体" w:eastAsia="宋体" w:cs="宋体"/>
          <w:b w:val="0"/>
          <w:bCs/>
          <w:color w:val="auto"/>
          <w:sz w:val="24"/>
        </w:rPr>
        <w:t>。</w:t>
      </w:r>
    </w:p>
    <w:p w14:paraId="0C998F7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（1）单机无负荷试车费用由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3B6372C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（2）无负荷联动试车费用由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5781DAD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13.3.3 投料试车</w:t>
      </w:r>
    </w:p>
    <w:p w14:paraId="4037DEA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关于投料试车相关事项的约定：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4474D3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13.6 竣工退场</w:t>
      </w:r>
    </w:p>
    <w:p w14:paraId="6556C50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13.6.1 竣工退场</w:t>
      </w:r>
    </w:p>
    <w:p w14:paraId="40D0DE0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承包人完成竣工退场的期限：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颁发工程接收证书后3天内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32FD44">
      <w:pPr>
        <w:spacing w:before="120" w:after="120" w:line="360" w:lineRule="auto"/>
        <w:jc w:val="left"/>
        <w:rPr>
          <w:rFonts w:hint="eastAsia" w:ascii="宋体" w:hAnsi="宋体" w:eastAsia="宋体" w:cs="宋体"/>
          <w:b w:val="0"/>
          <w:bCs/>
          <w:color w:val="auto"/>
          <w:sz w:val="24"/>
        </w:rPr>
      </w:pPr>
      <w:bookmarkStart w:id="517" w:name="_Toc351203646"/>
      <w:r>
        <w:rPr>
          <w:rFonts w:hint="eastAsia" w:ascii="宋体" w:hAnsi="宋体" w:eastAsia="宋体" w:cs="宋体"/>
          <w:b w:val="0"/>
          <w:bCs/>
          <w:color w:val="auto"/>
          <w:sz w:val="24"/>
        </w:rPr>
        <w:t>14. 竣工结算</w:t>
      </w:r>
      <w:bookmarkEnd w:id="517"/>
    </w:p>
    <w:p w14:paraId="122DAF3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14.1 竣工结算申请</w:t>
      </w:r>
    </w:p>
    <w:p w14:paraId="2B36BE5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承包人提交竣工结算申请单的期限：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17AA49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竣工结算申请单应包括的内容：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58717D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竣工结算审核</w:t>
      </w:r>
    </w:p>
    <w:p w14:paraId="2BA35E5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发包人审批竣工付款申请单的期限：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5D3DD0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发包人完成竣工付款的期限：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签发竣工付款申请单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75AC9D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关于竣工付款证书异议部分复核的方式和程序：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6A4AD4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14.4 最终结清</w:t>
      </w:r>
    </w:p>
    <w:p w14:paraId="28FEE7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14.4.1 最终结清申请单</w:t>
      </w:r>
    </w:p>
    <w:p w14:paraId="19D2862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承包人提交最终结清申请单的份数：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四份</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72232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承包人提交最终结算申请单的期限：</w:t>
      </w:r>
      <w:r>
        <w:rPr>
          <w:rFonts w:hint="eastAsia" w:ascii="宋体" w:hAnsi="宋体" w:eastAsia="宋体" w:cs="宋体"/>
          <w:b w:val="0"/>
          <w:bCs/>
          <w:color w:val="auto"/>
          <w:sz w:val="24"/>
          <w:u w:val="single"/>
        </w:rPr>
        <w:t xml:space="preserve">  缺陷责任期终止证书颁发后7天内 </w:t>
      </w:r>
      <w:r>
        <w:rPr>
          <w:rFonts w:hint="eastAsia" w:ascii="宋体" w:hAnsi="宋体" w:eastAsia="宋体" w:cs="宋体"/>
          <w:b w:val="0"/>
          <w:bCs/>
          <w:color w:val="auto"/>
          <w:sz w:val="24"/>
        </w:rPr>
        <w:t xml:space="preserve">。 </w:t>
      </w:r>
    </w:p>
    <w:p w14:paraId="18F6008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14.4.2 最终结清证书和支付</w:t>
      </w:r>
    </w:p>
    <w:p w14:paraId="1D354BD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（1）发包人完成最终结清申请单的审批并颁发最终结清证书的期限：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收到申请</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ABA96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（2）发包人完成支付的期限：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申请签发后14天内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04"/>
    <w:bookmarkEnd w:id="505"/>
    <w:bookmarkEnd w:id="506"/>
    <w:bookmarkEnd w:id="507"/>
    <w:bookmarkEnd w:id="508"/>
    <w:bookmarkEnd w:id="509"/>
    <w:bookmarkEnd w:id="510"/>
    <w:bookmarkEnd w:id="516"/>
    <w:p w14:paraId="382D4F8B">
      <w:pPr>
        <w:spacing w:before="120" w:after="120" w:line="360" w:lineRule="auto"/>
        <w:jc w:val="left"/>
        <w:rPr>
          <w:rFonts w:hint="eastAsia" w:ascii="宋体" w:hAnsi="宋体" w:eastAsia="宋体" w:cs="宋体"/>
          <w:b w:val="0"/>
          <w:bCs/>
          <w:color w:val="auto"/>
          <w:sz w:val="24"/>
        </w:rPr>
      </w:pPr>
      <w:bookmarkStart w:id="518" w:name="_Toc351203647"/>
      <w:bookmarkStart w:id="519" w:name="_Toc267251483"/>
      <w:bookmarkStart w:id="520" w:name="_Toc267251482"/>
      <w:bookmarkStart w:id="521" w:name="_Toc267251484"/>
      <w:bookmarkStart w:id="522" w:name="_Toc267251485"/>
      <w:bookmarkStart w:id="523" w:name="_Toc267251488"/>
      <w:bookmarkStart w:id="524" w:name="_Toc267251489"/>
      <w:bookmarkStart w:id="525" w:name="_Toc267251486"/>
      <w:bookmarkStart w:id="526" w:name="_Toc267251490"/>
      <w:bookmarkStart w:id="527" w:name="_Toc267251503"/>
      <w:bookmarkStart w:id="528" w:name="_Toc267251502"/>
      <w:bookmarkStart w:id="529" w:name="_Toc267251492"/>
      <w:bookmarkStart w:id="530" w:name="_Toc267251494"/>
      <w:bookmarkStart w:id="531" w:name="_Toc267251495"/>
      <w:bookmarkStart w:id="532" w:name="_Toc267251497"/>
      <w:bookmarkStart w:id="533" w:name="_Toc267251493"/>
      <w:bookmarkStart w:id="534" w:name="_Toc267251501"/>
      <w:bookmarkStart w:id="535" w:name="_Toc267251498"/>
      <w:bookmarkStart w:id="536" w:name="_Toc267251491"/>
      <w:bookmarkStart w:id="537" w:name="_Toc267251499"/>
      <w:bookmarkStart w:id="538" w:name="_Toc267251496"/>
      <w:bookmarkStart w:id="539" w:name="_Toc267251504"/>
      <w:bookmarkStart w:id="540" w:name="_Toc267251506"/>
      <w:bookmarkStart w:id="541" w:name="_Toc267251507"/>
      <w:bookmarkStart w:id="542" w:name="_Toc267251508"/>
      <w:bookmarkStart w:id="543" w:name="_Toc267251515"/>
      <w:bookmarkStart w:id="544" w:name="_Toc267251513"/>
      <w:bookmarkStart w:id="545" w:name="_Toc267251510"/>
      <w:bookmarkStart w:id="546" w:name="_Toc267251509"/>
      <w:bookmarkStart w:id="547" w:name="_Toc267251514"/>
      <w:bookmarkStart w:id="548" w:name="_Toc267251511"/>
      <w:r>
        <w:rPr>
          <w:rFonts w:hint="eastAsia" w:ascii="宋体" w:hAnsi="宋体" w:eastAsia="宋体" w:cs="宋体"/>
          <w:b w:val="0"/>
          <w:bCs/>
          <w:color w:val="auto"/>
          <w:sz w:val="24"/>
        </w:rPr>
        <w:t>15. 缺陷责任期与保修</w:t>
      </w:r>
      <w:bookmarkEnd w:id="518"/>
    </w:p>
    <w:p w14:paraId="3032FF8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15.2缺陷责任期</w:t>
      </w:r>
      <w:bookmarkEnd w:id="519"/>
    </w:p>
    <w:p w14:paraId="556DF35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缺陷责任期的具体期限：</w:t>
      </w:r>
      <w:r>
        <w:rPr>
          <w:rFonts w:hint="eastAsia" w:ascii="宋体" w:hAnsi="宋体" w:eastAsia="宋体" w:cs="宋体"/>
          <w:b w:val="0"/>
          <w:bCs/>
          <w:color w:val="auto"/>
          <w:sz w:val="24"/>
          <w:u w:val="single"/>
        </w:rPr>
        <w:t xml:space="preserve"> 竣工验收合格后两年 </w:t>
      </w:r>
      <w:r>
        <w:rPr>
          <w:rFonts w:hint="eastAsia" w:ascii="宋体" w:hAnsi="宋体" w:eastAsia="宋体" w:cs="宋体"/>
          <w:b w:val="0"/>
          <w:bCs/>
          <w:color w:val="auto"/>
          <w:sz w:val="24"/>
        </w:rPr>
        <w:t>。</w:t>
      </w:r>
    </w:p>
    <w:p w14:paraId="26335AC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15.3 质量保证金</w:t>
      </w:r>
    </w:p>
    <w:p w14:paraId="027159D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关于是否扣留质量保证金的约定：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扣留质量保证金</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。在工程项目竣工前，承包人按专用合同条款第3.7条提供履约担保的，发包人不得同时预留工程质量保证金。</w:t>
      </w:r>
    </w:p>
    <w:p w14:paraId="0AAEE27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2D16AF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2E4E4DB7">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235C3AE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15A95523">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94F8F9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15.3.2 质量保证金的扣留 </w:t>
      </w:r>
    </w:p>
    <w:p w14:paraId="131585F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质量保证金的扣留采取以下第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w:t>
      </w:r>
    </w:p>
    <w:p w14:paraId="484923D3">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（1）在支付工程进度款时逐次扣留，在此情形下，质量保证金的计算基数不包括预付款的支付、扣回以及价格调整的金额；</w:t>
      </w:r>
    </w:p>
    <w:p w14:paraId="5C534D07">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（2）工程竣工结算时一次性扣留质量保证金；</w:t>
      </w:r>
    </w:p>
    <w:p w14:paraId="76C64E58">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（3）其他扣留方式: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2F8F15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关于质量保证金的补充约定：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520"/>
    <w:bookmarkEnd w:id="521"/>
    <w:p w14:paraId="4019191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15.4保修</w:t>
      </w:r>
    </w:p>
    <w:bookmarkEnd w:id="522"/>
    <w:p w14:paraId="46A9FE3A">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15.4.1 保修责任</w:t>
      </w:r>
    </w:p>
    <w:p w14:paraId="27BED1B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工程保修期为：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见工程质量保修书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543610D">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15.4.3 修复通知</w:t>
      </w:r>
    </w:p>
    <w:p w14:paraId="4E0D979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承包人收到保修通知并到达工程现场的合理时间：</w:t>
      </w:r>
      <w:r>
        <w:rPr>
          <w:rFonts w:hint="eastAsia" w:ascii="宋体" w:hAnsi="宋体" w:eastAsia="宋体" w:cs="宋体"/>
          <w:b w:val="0"/>
          <w:bCs/>
          <w:color w:val="auto"/>
          <w:sz w:val="24"/>
          <w:u w:val="single"/>
        </w:rPr>
        <w:t xml:space="preserve">  24小时内  </w:t>
      </w:r>
      <w:r>
        <w:rPr>
          <w:rFonts w:hint="eastAsia" w:ascii="宋体" w:hAnsi="宋体" w:eastAsia="宋体" w:cs="宋体"/>
          <w:b w:val="0"/>
          <w:bCs/>
          <w:color w:val="auto"/>
          <w:sz w:val="24"/>
        </w:rPr>
        <w:t>。</w:t>
      </w:r>
    </w:p>
    <w:bookmarkEnd w:id="523"/>
    <w:bookmarkEnd w:id="524"/>
    <w:bookmarkEnd w:id="525"/>
    <w:bookmarkEnd w:id="526"/>
    <w:p w14:paraId="6ABB68B0">
      <w:pPr>
        <w:spacing w:before="120" w:after="120" w:line="360" w:lineRule="auto"/>
        <w:jc w:val="left"/>
        <w:rPr>
          <w:rFonts w:hint="eastAsia" w:ascii="宋体" w:hAnsi="宋体" w:eastAsia="宋体" w:cs="宋体"/>
          <w:b w:val="0"/>
          <w:bCs/>
          <w:color w:val="auto"/>
          <w:sz w:val="24"/>
        </w:rPr>
      </w:pPr>
      <w:bookmarkStart w:id="549" w:name="_Toc351203648"/>
      <w:bookmarkStart w:id="550" w:name="_Toc280868717"/>
      <w:bookmarkStart w:id="551" w:name="_Toc280868718"/>
      <w:r>
        <w:rPr>
          <w:rFonts w:hint="eastAsia" w:ascii="宋体" w:hAnsi="宋体" w:eastAsia="宋体" w:cs="宋体"/>
          <w:b w:val="0"/>
          <w:bCs/>
          <w:color w:val="auto"/>
          <w:sz w:val="24"/>
        </w:rPr>
        <w:t>16. 违约</w:t>
      </w:r>
      <w:bookmarkEnd w:id="549"/>
    </w:p>
    <w:p w14:paraId="7277181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16.1 发包人违约</w:t>
      </w:r>
    </w:p>
    <w:p w14:paraId="4B0FD99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16.1.1发包人违约的情形</w:t>
      </w:r>
    </w:p>
    <w:p w14:paraId="0CCC4F47">
      <w:pPr>
        <w:spacing w:line="360" w:lineRule="auto"/>
        <w:ind w:left="1199" w:leftChars="228" w:hanging="720" w:hangingChars="3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发包人违约的其他情形：</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2491F5D">
      <w:pPr>
        <w:spacing w:line="360" w:lineRule="auto"/>
        <w:ind w:left="1200" w:hanging="1200" w:hangingChars="5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    16.1.2 发包人违约的责任</w:t>
      </w:r>
    </w:p>
    <w:p w14:paraId="770A5B0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发包人违约责任的承担方式和计算方法：</w:t>
      </w:r>
    </w:p>
    <w:p w14:paraId="177DE70A">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（1）因发包人原因未能在计划开工日期前7天内下达开工通知的违约责任：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115825D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（2）因发包人原因未能按合同约定支付合同价款的违约责任：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0D1144C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（3）发包人违反第10.1款〔变更的范围〕第（2）项约定，自行实施被取消的工作或转由他人实施的违约责任：</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rPr>
        <w:t>。</w:t>
      </w:r>
    </w:p>
    <w:p w14:paraId="2FB203F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7254966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（5）因发包人违反合同约定造成暂停施工的违约责任：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1421B81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（6）发包人无正当理由没有在约定期限内发出复工指示，导致承包人无法复工的违约责任：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243107C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（7）其他：</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23A1AA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16.1.3 因发包人违约解除合同</w:t>
      </w:r>
    </w:p>
    <w:p w14:paraId="439A4D3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承包人按16.1.1项〔发包人违约的情形〕约定暂停施工满</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天后发包人仍不纠正其违约行为并致使合同目的不能实现的，承包人有权解除合同。</w:t>
      </w:r>
    </w:p>
    <w:p w14:paraId="5A78732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 承包人违约</w:t>
      </w:r>
    </w:p>
    <w:p w14:paraId="2C3ACC8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16.2.1 承包人违约的情形</w:t>
      </w:r>
    </w:p>
    <w:p w14:paraId="2DF5E103">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本工程不得转包。一经发现承包人将本工程予以转包，发包人有权立即中止合同，承包人应在 14 日内清退出场。同时，承包人承担由此给发包人造成的损失；承包人提供的履约保证金违约金不再退还。 </w:t>
      </w:r>
    </w:p>
    <w:p w14:paraId="598CBE06">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投标承诺的项目经理和技术负责人，经发包人书面同意允许更换，但更换一次处罚 10000 元，否则视同投标人违约，发包人有权解除合同。</w:t>
      </w:r>
    </w:p>
    <w:p w14:paraId="1C3CCEE2">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承包人在施工过程中应进行严格的安全文明生产管理，对不安全不文明的生产行为承包人承担下列责任： </w:t>
      </w:r>
    </w:p>
    <w:p w14:paraId="320A24E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a：在发包人管辖范围内作业的承包人人员违反本协议或违发包人职业健康、安全、环境管理规定的违章行为，每人次扣罚款 500 元。 </w:t>
      </w:r>
    </w:p>
    <w:p w14:paraId="09A5221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b：承包人在发包人管辖范围工作区域存在事故隐患，每项罚款 500 元。 </w:t>
      </w:r>
    </w:p>
    <w:p w14:paraId="5AA3CB08">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C：承包人在发包人管辖范围内工作，事故隐患未按期整改每项罚款 1000 元。 </w:t>
      </w:r>
    </w:p>
    <w:p w14:paraId="74BB6F37">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d：承包人不服从发包人的职业健康、安全、环境管理，每次罚款 2000～10000 元。 </w:t>
      </w:r>
    </w:p>
    <w:p w14:paraId="686FBBC7">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e：为防止发生事故，对发包人造成不良影响，每发生 1 人次应承担以下违约责任：轻伤事故：处以 2000 元以上、10000 元以下罚款；重伤事故、一般污染事件：处以 10000 元以上、20000 元以下罚款；死亡事故、等级污染事故：处以 20000 元以上、200000 元以下罚款； </w:t>
      </w:r>
    </w:p>
    <w:p w14:paraId="50599A61">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f：发生事故后，承包人控制污染、救治、善后不力，发包人有权组织控制污染、救治、善后。造成发包人财产损失除全额赔偿外，另外处以损失金额 25%的罚款。以上处罚及控制污染、救治、善后所有费用从承包人风险抵押金或项目款中扣除。 </w:t>
      </w:r>
    </w:p>
    <w:p w14:paraId="04DC17FD">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g：对承包人不认真进行整改，连续发生同类事故，发包人加倍处罚； </w:t>
      </w:r>
    </w:p>
    <w:p w14:paraId="7411B968">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h：由于承包人原因发生 1 人以上（含 1 人）死亡事故或等级污染事故，发包人有权单方解除合同； </w:t>
      </w:r>
    </w:p>
    <w:p w14:paraId="33BE5E7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i：因承包人违反本协议或国家和本地区关于职业健康、安全、环境方面的规定，发生事故的，由承包人承担由此产生的人身伤亡赔偿、财产损失赔偿及其他一切赔偿责任及损失，并承担其他相应一切法律责任，在安全环保事故未彻底解决完毕前，发包人有权暂停支付工程款。若发生以上内容造成的罚金，支付给</w:t>
      </w:r>
      <w:r>
        <w:rPr>
          <w:rFonts w:hint="eastAsia" w:ascii="宋体" w:hAnsi="宋体" w:eastAsia="宋体" w:cs="宋体"/>
          <w:b w:val="0"/>
          <w:bCs/>
          <w:color w:val="auto"/>
          <w:sz w:val="24"/>
          <w:highlight w:val="none"/>
          <w:u w:val="single"/>
          <w:lang w:val="en-US" w:eastAsia="zh-CN"/>
        </w:rPr>
        <w:t>富平县</w:t>
      </w:r>
      <w:r>
        <w:rPr>
          <w:rFonts w:hint="eastAsia" w:ascii="宋体" w:hAnsi="宋体" w:cs="宋体"/>
          <w:b w:val="0"/>
          <w:bCs/>
          <w:color w:val="auto"/>
          <w:sz w:val="24"/>
          <w:highlight w:val="none"/>
          <w:u w:val="single"/>
          <w:lang w:val="en-US" w:eastAsia="zh-CN"/>
        </w:rPr>
        <w:t>荆山学校</w:t>
      </w:r>
      <w:r>
        <w:rPr>
          <w:rFonts w:hint="eastAsia" w:ascii="宋体" w:hAnsi="宋体" w:eastAsia="宋体" w:cs="宋体"/>
          <w:b w:val="0"/>
          <w:bCs/>
          <w:color w:val="auto"/>
          <w:sz w:val="24"/>
          <w:highlight w:val="none"/>
        </w:rPr>
        <w:t>。</w:t>
      </w:r>
    </w:p>
    <w:p w14:paraId="0EBEDB7A">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16.2.2承包人违约的责任</w:t>
      </w:r>
    </w:p>
    <w:p w14:paraId="21043D57">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承包人违约责任的承担方式和计算方法：</w:t>
      </w:r>
      <w:r>
        <w:rPr>
          <w:rFonts w:hint="eastAsia" w:ascii="宋体" w:hAnsi="宋体" w:eastAsia="宋体" w:cs="宋体"/>
          <w:b w:val="0"/>
          <w:bCs/>
          <w:color w:val="auto"/>
          <w:sz w:val="24"/>
          <w:u w:val="single"/>
          <w:lang w:val="en-US" w:eastAsia="zh-CN"/>
        </w:rPr>
        <w:t xml:space="preserve">所延误工期每天按合同价款的万分之二处罚并承担由违约造成的费用损失及工期。 </w:t>
      </w:r>
    </w:p>
    <w:p w14:paraId="7E05F32F">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违约承担的违约责任：承包人在工程实施工程中，任何因投标时忽视或误解工地情况而导致索赔或工期延长申请将不被批准。由于承包人自身原因导致工期延误，每延迟一天，承包人向发包人支付合同价款的万分之二作为违约金；发包人根据延期情况经书面通知承包人后，有权解除本合同。承包人支付违约金并不免除完成工程及修补缺陷的义务。 </w:t>
      </w:r>
    </w:p>
    <w:p w14:paraId="73A78E69">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工程建设中的过程资料、材料报验资料、检验批资料、变更签证资料、施工日志及竣工图纸等工程资料，按照工程资料管理规定和公司档案资料归集要求，必须及时、规范和准确。 </w:t>
      </w:r>
    </w:p>
    <w:p w14:paraId="164DE40D">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根据施工进度同步完成施工试验、施工记录、隐蔽检验、质量评定、材料报验、工序验收、分项验收、分部验收等施工资料，在申请进度款的同时须向监理报送上月施工资料，否则不予支付工程进度款，施工资料编报同步性较差或达不到 80%，扣除当月工程及进度款的 1%-5%。 </w:t>
      </w:r>
    </w:p>
    <w:p w14:paraId="274BA846">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承包人应在工程竣工验收合格后 14 天内向监理单位提交竣工结算申请单，并提交完整的结算资料及施工竣工资料，对于未按期提交施工资料的，承包人每超期 1 天按照工期延误条款在结算款中扣除因资料未及时报送引起工程延误违约金。每延误 1 天按合同价款万分之一处罚并承担因违约造成的费用损失及工期。 </w:t>
      </w:r>
    </w:p>
    <w:p w14:paraId="45D84C7D">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承包人承担因工程质量达不到本合同约定的质量等级所造成检测、返工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质量不达标造成发包人损失的二倍金额</w:t>
      </w:r>
      <w:r>
        <w:rPr>
          <w:rFonts w:hint="eastAsia" w:ascii="宋体" w:hAnsi="宋体" w:eastAsia="宋体" w:cs="宋体"/>
          <w:b w:val="0"/>
          <w:bCs/>
          <w:color w:val="auto"/>
          <w:sz w:val="24"/>
        </w:rPr>
        <w:t xml:space="preserve">。    </w:t>
      </w:r>
    </w:p>
    <w:p w14:paraId="4B327385">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16.2.3 因承包人违约解除合同</w:t>
      </w:r>
    </w:p>
    <w:p w14:paraId="3651384F">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关于承包人违约解除合同的特别约定：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3E056D2">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17E7C32">
      <w:pPr>
        <w:spacing w:before="120" w:after="120" w:line="360" w:lineRule="auto"/>
        <w:jc w:val="left"/>
        <w:rPr>
          <w:rFonts w:hint="eastAsia" w:ascii="宋体" w:hAnsi="宋体" w:eastAsia="宋体" w:cs="宋体"/>
          <w:b w:val="0"/>
          <w:bCs/>
          <w:color w:val="auto"/>
          <w:sz w:val="24"/>
        </w:rPr>
      </w:pPr>
      <w:bookmarkStart w:id="552" w:name="_Toc351203649"/>
      <w:r>
        <w:rPr>
          <w:rFonts w:hint="eastAsia" w:ascii="宋体" w:hAnsi="宋体" w:eastAsia="宋体" w:cs="宋体"/>
          <w:b w:val="0"/>
          <w:bCs/>
          <w:color w:val="auto"/>
          <w:sz w:val="24"/>
        </w:rPr>
        <w:t>17. 不可抗力</w:t>
      </w:r>
      <w:bookmarkEnd w:id="552"/>
      <w:r>
        <w:rPr>
          <w:rFonts w:hint="eastAsia" w:ascii="宋体" w:hAnsi="宋体" w:eastAsia="宋体" w:cs="宋体"/>
          <w:b w:val="0"/>
          <w:bCs/>
          <w:color w:val="auto"/>
          <w:sz w:val="24"/>
        </w:rPr>
        <w:t xml:space="preserve"> </w:t>
      </w:r>
      <w:bookmarkEnd w:id="550"/>
    </w:p>
    <w:p w14:paraId="72E661D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17.1 不可抗力的确认</w:t>
      </w:r>
    </w:p>
    <w:p w14:paraId="2DAA54C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除通用合同条款约定的不可抗力事件之外，视为不可抗力的其他情形：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战争、动乱、空中飞行物坠落或其他非发包人、承包人责任造成的爆炸、火灾，以及 24 小时降雨量超过 50 毫米的暴雨天气、5 级以上地震等自然灾害</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D57804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17.4 因不可抗力解除合同</w:t>
      </w:r>
    </w:p>
    <w:p w14:paraId="61FFDBDB">
      <w:pPr>
        <w:spacing w:line="360" w:lineRule="auto"/>
        <w:ind w:firstLine="456" w:firstLineChars="200"/>
        <w:jc w:val="left"/>
        <w:rPr>
          <w:rFonts w:hint="eastAsia" w:ascii="宋体" w:hAnsi="宋体" w:eastAsia="宋体" w:cs="宋体"/>
          <w:b w:val="0"/>
          <w:bCs/>
          <w:color w:val="auto"/>
          <w:sz w:val="24"/>
        </w:rPr>
      </w:pPr>
      <w:r>
        <w:rPr>
          <w:rFonts w:hint="eastAsia" w:ascii="宋体" w:hAnsi="宋体" w:eastAsia="宋体" w:cs="宋体"/>
          <w:b w:val="0"/>
          <w:bCs/>
          <w:color w:val="auto"/>
          <w:spacing w:val="-6"/>
          <w:sz w:val="24"/>
        </w:rPr>
        <w:t>合同解除后，发包人应在商定或确定发包人应支付款项后</w:t>
      </w:r>
      <w:r>
        <w:rPr>
          <w:rFonts w:hint="eastAsia" w:ascii="宋体" w:hAnsi="宋体" w:eastAsia="宋体" w:cs="宋体"/>
          <w:b w:val="0"/>
          <w:bCs/>
          <w:color w:val="auto"/>
          <w:spacing w:val="-6"/>
          <w:sz w:val="24"/>
          <w:u w:val="single"/>
        </w:rPr>
        <w:t>60</w:t>
      </w:r>
      <w:r>
        <w:rPr>
          <w:rFonts w:hint="eastAsia" w:ascii="宋体" w:hAnsi="宋体" w:eastAsia="宋体" w:cs="宋体"/>
          <w:b w:val="0"/>
          <w:bCs/>
          <w:color w:val="auto"/>
          <w:spacing w:val="-6"/>
          <w:sz w:val="24"/>
        </w:rPr>
        <w:t>天内完成款项的支付。</w:t>
      </w:r>
    </w:p>
    <w:p w14:paraId="7BDBC28F">
      <w:pPr>
        <w:spacing w:before="120" w:after="120" w:line="360" w:lineRule="auto"/>
        <w:jc w:val="left"/>
        <w:rPr>
          <w:rFonts w:hint="eastAsia" w:ascii="宋体" w:hAnsi="宋体" w:eastAsia="宋体" w:cs="宋体"/>
          <w:b w:val="0"/>
          <w:bCs/>
          <w:color w:val="auto"/>
          <w:sz w:val="24"/>
        </w:rPr>
      </w:pPr>
      <w:bookmarkStart w:id="553" w:name="_Toc351203650"/>
      <w:r>
        <w:rPr>
          <w:rFonts w:hint="eastAsia" w:ascii="宋体" w:hAnsi="宋体" w:eastAsia="宋体" w:cs="宋体"/>
          <w:b w:val="0"/>
          <w:bCs/>
          <w:color w:val="auto"/>
          <w:sz w:val="24"/>
        </w:rPr>
        <w:t>18. 保险</w:t>
      </w:r>
      <w:bookmarkEnd w:id="553"/>
    </w:p>
    <w:bookmarkEnd w:id="551"/>
    <w:p w14:paraId="60D6D1F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18.1 工程保险</w:t>
      </w:r>
    </w:p>
    <w:p w14:paraId="592792B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关于工程保险的特别约定：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69E668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18.3 其他保险</w:t>
      </w:r>
    </w:p>
    <w:p w14:paraId="6D07221E">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关于其他保险的约定：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0BD0F1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承包人是否应为其施工设备等办理财产保险：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6B21682">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18.7 通知义务</w:t>
      </w:r>
    </w:p>
    <w:p w14:paraId="3337A12B">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关于变更保险合同时的通知义务的约定：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27"/>
    <w:bookmarkEnd w:id="528"/>
    <w:bookmarkEnd w:id="529"/>
    <w:bookmarkEnd w:id="530"/>
    <w:bookmarkEnd w:id="531"/>
    <w:bookmarkEnd w:id="532"/>
    <w:bookmarkEnd w:id="533"/>
    <w:bookmarkEnd w:id="534"/>
    <w:bookmarkEnd w:id="535"/>
    <w:bookmarkEnd w:id="536"/>
    <w:bookmarkEnd w:id="537"/>
    <w:bookmarkEnd w:id="538"/>
    <w:p w14:paraId="25A4E28C">
      <w:pPr>
        <w:widowControl/>
        <w:spacing w:line="460" w:lineRule="exact"/>
        <w:jc w:val="left"/>
        <w:rPr>
          <w:rFonts w:hint="eastAsia" w:ascii="宋体" w:hAnsi="宋体" w:eastAsia="宋体" w:cs="宋体"/>
          <w:b w:val="0"/>
          <w:bCs/>
          <w:color w:val="auto"/>
          <w:sz w:val="24"/>
        </w:rPr>
      </w:pPr>
      <w:bookmarkStart w:id="554" w:name="_Toc351203651"/>
      <w:r>
        <w:rPr>
          <w:rFonts w:hint="eastAsia" w:ascii="宋体" w:hAnsi="宋体" w:eastAsia="宋体" w:cs="宋体"/>
          <w:b w:val="0"/>
          <w:bCs/>
          <w:color w:val="auto"/>
          <w:sz w:val="24"/>
        </w:rPr>
        <w:t>20. 争议解决</w:t>
      </w:r>
      <w:bookmarkEnd w:id="554"/>
    </w:p>
    <w:bookmarkEnd w:id="539"/>
    <w:bookmarkEnd w:id="540"/>
    <w:p w14:paraId="67356F40">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 争</w:t>
      </w:r>
      <w:bookmarkEnd w:id="541"/>
      <w:r>
        <w:rPr>
          <w:rFonts w:hint="eastAsia" w:ascii="宋体" w:hAnsi="宋体" w:eastAsia="宋体" w:cs="宋体"/>
          <w:b w:val="0"/>
          <w:bCs/>
          <w:color w:val="auto"/>
          <w:sz w:val="24"/>
        </w:rPr>
        <w:t>议评审</w:t>
      </w:r>
    </w:p>
    <w:p w14:paraId="1B618D10">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合同当事人是否同意将工程争议提交争议评审小组决定：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70264E4">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20.3.1 争议评审小组的确定</w:t>
      </w:r>
    </w:p>
    <w:p w14:paraId="7AB54700">
      <w:pPr>
        <w:widowControl/>
        <w:spacing w:line="460" w:lineRule="exact"/>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争议评审小组成员的确定：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B427398">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选定争议评审员的期限：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5900164">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争议评审小组成员的报酬承担方式：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E76ED7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81A1F09">
      <w:pPr>
        <w:widowControl/>
        <w:autoSpaceDE w:val="0"/>
        <w:autoSpaceDN w:val="0"/>
        <w:adjustRightInd w:val="0"/>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20.3.2 争议评审小组的决定</w:t>
      </w:r>
    </w:p>
    <w:p w14:paraId="7D03C6B4">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合同当事人关于本项的约定：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7D0C806">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20.4仲裁或诉讼</w:t>
      </w:r>
      <w:bookmarkEnd w:id="542"/>
    </w:p>
    <w:p w14:paraId="6EBF9AC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因合同及合同有关事项发生的争议，按下列第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种方式解决：</w:t>
      </w:r>
    </w:p>
    <w:p w14:paraId="7C1BF652">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（1）向</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仲裁委员会申请仲裁；</w:t>
      </w:r>
    </w:p>
    <w:p w14:paraId="247B30D3">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（2）向</w:t>
      </w:r>
      <w:r>
        <w:rPr>
          <w:rFonts w:hint="eastAsia" w:ascii="宋体" w:hAnsi="宋体" w:eastAsia="宋体" w:cs="宋体"/>
          <w:b w:val="0"/>
          <w:bCs/>
          <w:color w:val="auto"/>
          <w:sz w:val="24"/>
          <w:u w:val="single"/>
        </w:rPr>
        <w:t xml:space="preserve">        富平县        </w:t>
      </w:r>
      <w:r>
        <w:rPr>
          <w:rFonts w:hint="eastAsia" w:ascii="宋体" w:hAnsi="宋体" w:eastAsia="宋体" w:cs="宋体"/>
          <w:b w:val="0"/>
          <w:bCs/>
          <w:color w:val="auto"/>
          <w:sz w:val="24"/>
        </w:rPr>
        <w:t>人民法院起诉。</w:t>
      </w:r>
      <w:bookmarkEnd w:id="543"/>
      <w:bookmarkEnd w:id="544"/>
      <w:bookmarkEnd w:id="545"/>
      <w:bookmarkEnd w:id="546"/>
      <w:bookmarkEnd w:id="547"/>
      <w:bookmarkEnd w:id="548"/>
    </w:p>
    <w:p w14:paraId="600D7198">
      <w:pPr>
        <w:spacing w:line="360" w:lineRule="auto"/>
        <w:ind w:firstLine="482" w:firstLineChars="200"/>
        <w:rPr>
          <w:rFonts w:hint="eastAsia" w:ascii="宋体" w:hAnsi="宋体"/>
          <w:color w:val="auto"/>
          <w:sz w:val="24"/>
        </w:rPr>
      </w:pPr>
      <w:bookmarkStart w:id="555" w:name="_Toc351203652"/>
      <w:r>
        <w:rPr>
          <w:rFonts w:hint="eastAsia" w:ascii="宋体" w:hAnsi="宋体"/>
          <w:b/>
          <w:bCs/>
          <w:color w:val="auto"/>
          <w:sz w:val="24"/>
        </w:rPr>
        <w:t xml:space="preserve"> </w:t>
      </w:r>
      <w:r>
        <w:rPr>
          <w:rFonts w:hint="eastAsia" w:ascii="宋体" w:hAnsi="宋体"/>
          <w:color w:val="auto"/>
          <w:sz w:val="24"/>
        </w:rPr>
        <w:t>21、补充条款：</w:t>
      </w:r>
    </w:p>
    <w:p w14:paraId="6867886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21.1为保证工程施工的连续性，确保工期的质量和工期，承包人必须保证工程不转包、组织机构稳定、工程无重大缺陷、保证工程进度、安全措施落实及合同约定的其它内容。</w:t>
      </w:r>
    </w:p>
    <w:p w14:paraId="41F44CE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rPr>
        <w:t>21.2</w:t>
      </w:r>
      <w:r>
        <w:rPr>
          <w:rFonts w:hint="eastAsia" w:ascii="宋体" w:hAnsi="宋体"/>
          <w:color w:val="auto"/>
          <w:sz w:val="24"/>
          <w:lang w:eastAsia="zh-CN"/>
        </w:rPr>
        <w:t>承包人必须保证农民工工资按时足额发放，在每次发放后，须将发放工资表报发包人备案。</w:t>
      </w:r>
      <w:r>
        <w:rPr>
          <w:rFonts w:hint="eastAsia" w:ascii="宋体" w:hAnsi="宋体"/>
          <w:color w:val="auto"/>
          <w:sz w:val="24"/>
        </w:rPr>
        <w:t>承包人不得以任何理由拖欠农民工工资，</w:t>
      </w:r>
      <w:r>
        <w:rPr>
          <w:rFonts w:hint="eastAsia" w:ascii="宋体" w:hAnsi="宋体"/>
          <w:color w:val="auto"/>
          <w:sz w:val="24"/>
          <w:lang w:eastAsia="zh-CN"/>
        </w:rPr>
        <w:t>若出现本公司及所属工程项目经理部，因拖欠民工工资以及因分包工程款未支付到位而引发分包单位拖欠农民工工资问题，且未能及时处理和支付的，发包人可直接将本工程的后期工程款先行支取，用于垫付所欠农民工工资</w:t>
      </w:r>
      <w:r>
        <w:rPr>
          <w:rFonts w:hint="eastAsia" w:ascii="宋体" w:hAnsi="宋体"/>
          <w:color w:val="auto"/>
          <w:sz w:val="24"/>
          <w:lang w:val="en-US" w:eastAsia="zh-CN"/>
        </w:rPr>
        <w:t>，结算工程款时予以扣除，并处以同等金额罚款。</w:t>
      </w:r>
    </w:p>
    <w:p w14:paraId="3A456BF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21.3本工程竣工后，应免费将施工现场周围和施工单位生活区周围清除干净；无建筑材料、无建筑设备、无临时垃圾、无坑池渠沟、无掩埋的硬化道路和垃圾，场地整洁。否则发包人不予支付工程款。</w:t>
      </w:r>
    </w:p>
    <w:p w14:paraId="01BDFD4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21.4必须严格按文明工地要求，设立专用垃圾场，不得在施工区内任意堆放或乱倒垃圾，定期将建筑垃圾清理外运。施工人员必须挂牌上岗（标明姓名、年龄、职务并贴照片）。</w:t>
      </w:r>
    </w:p>
    <w:p w14:paraId="696BEA0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21.5施工过程中，承包人的资料和工程进度必须同步。每月需报监理单位进行检查，若有问题限期整改。在工程竣工验收前，承包人要按规定将竣工资料交监理验收，由监理出据相应证明后，发包人方可组织验收。</w:t>
      </w:r>
    </w:p>
    <w:p w14:paraId="03F04F2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21.6承包人安全管理人员必须持证上岗，并负责检查现场和施工人员安全情况，如监理和发包人管理人员发现承包人在质量、安全等方面的违规操作，经指出后仍未纠正的视为承包人违约，每次支付违约金1000 元，并不因此而免除承包人的责任。</w:t>
      </w:r>
    </w:p>
    <w:p w14:paraId="08673D4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21.7承包人应处理好与工地周边单位和村民的关系，由此发生的费用由承包人自负。进入工地后，出现的地方干扰，由承包人负责处理，发包人可协调，但费用全部由承包人承担（包括误工、窝工及其他费用）。</w:t>
      </w:r>
    </w:p>
    <w:p w14:paraId="11EA725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w:t>
      </w:r>
      <w:r>
        <w:rPr>
          <w:rFonts w:hint="eastAsia" w:ascii="宋体" w:hAnsi="宋体"/>
          <w:color w:val="auto"/>
          <w:sz w:val="24"/>
          <w:highlight w:val="none"/>
        </w:rPr>
        <w:t>1.8按</w:t>
      </w:r>
      <w:r>
        <w:rPr>
          <w:rFonts w:hint="eastAsia" w:ascii="新宋体" w:hAnsi="新宋体" w:eastAsia="新宋体" w:cs="Times New Roman"/>
          <w:color w:val="000000"/>
          <w:sz w:val="24"/>
          <w:szCs w:val="24"/>
          <w:highlight w:val="none"/>
          <w:shd w:val="clear" w:color="auto" w:fill="auto"/>
          <w:lang w:val="zh-CN" w:eastAsia="zh-CN"/>
        </w:rPr>
        <w:t>陕西省建</w:t>
      </w:r>
      <w:r>
        <w:rPr>
          <w:rFonts w:hint="eastAsia" w:ascii="新宋体" w:hAnsi="新宋体" w:eastAsia="新宋体" w:cs="Times New Roman"/>
          <w:color w:val="000000"/>
          <w:sz w:val="24"/>
          <w:szCs w:val="24"/>
          <w:highlight w:val="none"/>
          <w:shd w:val="clear" w:color="auto" w:fill="auto"/>
          <w:lang w:val="en-US" w:eastAsia="zh-CN"/>
        </w:rPr>
        <w:t>设</w:t>
      </w:r>
      <w:r>
        <w:rPr>
          <w:rFonts w:hint="eastAsia" w:ascii="新宋体" w:hAnsi="新宋体" w:eastAsia="新宋体" w:cs="Times New Roman"/>
          <w:color w:val="000000"/>
          <w:sz w:val="24"/>
          <w:szCs w:val="24"/>
          <w:highlight w:val="none"/>
          <w:shd w:val="clear" w:color="auto" w:fill="auto"/>
          <w:lang w:val="zh-CN" w:eastAsia="zh-CN"/>
        </w:rPr>
        <w:t>工程工程量清单计价</w:t>
      </w:r>
      <w:r>
        <w:rPr>
          <w:rFonts w:hint="eastAsia" w:ascii="新宋体" w:hAnsi="新宋体" w:eastAsia="新宋体" w:cs="Times New Roman"/>
          <w:color w:val="000000"/>
          <w:sz w:val="24"/>
          <w:szCs w:val="24"/>
          <w:highlight w:val="none"/>
          <w:shd w:val="clear" w:color="auto" w:fill="auto"/>
          <w:lang w:val="en-US" w:eastAsia="zh-CN"/>
        </w:rPr>
        <w:t>标准及计算标准</w:t>
      </w:r>
      <w:r>
        <w:rPr>
          <w:rFonts w:hint="eastAsia" w:ascii="新宋体" w:hAnsi="新宋体" w:eastAsia="新宋体" w:cs="Times New Roman"/>
          <w:color w:val="000000"/>
          <w:sz w:val="24"/>
          <w:szCs w:val="24"/>
          <w:highlight w:val="none"/>
          <w:shd w:val="clear" w:color="auto" w:fill="auto"/>
          <w:lang w:val="zh-CN" w:eastAsia="zh-CN"/>
        </w:rPr>
        <w:t>（20</w:t>
      </w:r>
      <w:r>
        <w:rPr>
          <w:rFonts w:hint="eastAsia" w:ascii="新宋体" w:hAnsi="新宋体" w:eastAsia="新宋体" w:cs="Times New Roman"/>
          <w:color w:val="000000"/>
          <w:sz w:val="24"/>
          <w:szCs w:val="24"/>
          <w:highlight w:val="none"/>
          <w:shd w:val="clear" w:color="auto" w:fill="auto"/>
          <w:lang w:val="en-US" w:eastAsia="zh-CN"/>
        </w:rPr>
        <w:t>25</w:t>
      </w:r>
      <w:r>
        <w:rPr>
          <w:rFonts w:hint="eastAsia" w:ascii="新宋体" w:hAnsi="新宋体" w:eastAsia="新宋体" w:cs="Times New Roman"/>
          <w:color w:val="000000"/>
          <w:sz w:val="24"/>
          <w:szCs w:val="24"/>
          <w:highlight w:val="none"/>
          <w:shd w:val="clear" w:color="auto" w:fill="auto"/>
          <w:lang w:val="zh-CN" w:eastAsia="zh-CN"/>
        </w:rPr>
        <w:t>）</w:t>
      </w:r>
      <w:r>
        <w:rPr>
          <w:rFonts w:hint="eastAsia" w:ascii="宋体" w:hAnsi="宋体"/>
          <w:color w:val="auto"/>
          <w:sz w:val="24"/>
          <w:highlight w:val="none"/>
        </w:rPr>
        <w:t>和陕西省建设厅陕建管发【2025】10号文件规定计价已经计入的规费,若</w:t>
      </w:r>
      <w:r>
        <w:rPr>
          <w:rFonts w:hint="eastAsia" w:ascii="宋体" w:hAnsi="宋体"/>
          <w:color w:val="auto"/>
          <w:sz w:val="24"/>
        </w:rPr>
        <w:t>属于不可竞争的，因发包人在报建时已经和建设局办理过，在工程结算时，予以扣除。</w:t>
      </w:r>
    </w:p>
    <w:p w14:paraId="3B40906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21.9承包人应按经工程师审核过的《施工组织设计》组织施工。发包人根据承包人投标文件中提出的施工方案和施工进度进行监督管理，承包人不按《施工组织设计》作业时，发包人有权终止合同。</w:t>
      </w:r>
    </w:p>
    <w:p w14:paraId="6560B2D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21.10施工期间，本项目的项目经理不得同时承担其他工程的项目经理。</w:t>
      </w:r>
    </w:p>
    <w:p w14:paraId="339CC4E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21.11安全责任：承包人在施工过程中应当遵守施工安全规范，承包人自行承担施工过程中发生的一切重大安全事故和施工行为（包括工程施工事故或违法施工行为导致的任何第三方人身或财产之损害）所导致的行政、刑事及民事责任，如导致发包人先行承担，则发包人有权依据有效支付凭证就损失部分直接在工程款中扣除。</w:t>
      </w:r>
    </w:p>
    <w:p w14:paraId="3CF4801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21.12样本、样品及技术参数的呈审</w:t>
      </w:r>
    </w:p>
    <w:p w14:paraId="30418A6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无论工程规范有否指明，在订购大宗、主要或发包人认为有必要审查物料前，承包人必须向发包人及工程师呈示有关样本、样品供其批准。承包人应须于订购前至少21个工作日提交样本、样品（不少于3套）给发包人及工程师审阅并获得批准，承包人须在样本/样品上张贴明显的标记，说明材料的名称、规格、颜色、等级、生产厂商及产品合格证等必要的信息并签字确认。                                           </w:t>
      </w:r>
    </w:p>
    <w:p w14:paraId="695BA5F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所有经批准之样本/样品须由工程师封样保留，除发包人另有指示外，永久工程使用之物料必须符合该等样本之质量标准。   </w:t>
      </w:r>
    </w:p>
    <w:p w14:paraId="70254F7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21.13施工机械：</w:t>
      </w:r>
    </w:p>
    <w:p w14:paraId="68F3A6D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承包人为确保工程顺利进行，须提供和安装适当的施工机械以及所有其他的机械设备、工具、器材等，进行强制性检测，向发包方上报检测结果，并保持其良好的工作状态。否则，造成的一切后果由承包方自负。</w:t>
      </w:r>
    </w:p>
    <w:p w14:paraId="4D046AF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21.14承包人须提供及维护必须的安全通道，以便发包人、设计单位及工程师和上级有关领导能在安全环境下，对工程的任何部分做出日常检查。                                                     </w:t>
      </w:r>
    </w:p>
    <w:p w14:paraId="5B47CC1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21.15临时用水、用电、通讯及照明</w:t>
      </w:r>
    </w:p>
    <w:p w14:paraId="29D539B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本工程发包人将指定水、电接驳点，承包人必须自费将水、电接驳至施工部位。</w:t>
      </w:r>
    </w:p>
    <w:p w14:paraId="344C7C9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此外，承包人还须负责一切施工所需的照明，倘若因其他不能预计之原因，导致临时水、电供应中断/不敷使用时，承包人有责任解决有关施工用水、用电的问题。</w:t>
      </w:r>
    </w:p>
    <w:p w14:paraId="4D6AAB07">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本工程施工期间承包人使用的通讯设施及其费用由承包人承担。                                                   </w:t>
      </w:r>
    </w:p>
    <w:p w14:paraId="6FE2766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21.16物料的安全保管</w:t>
      </w:r>
    </w:p>
    <w:p w14:paraId="1CC1B25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承包人须负责运至现场的任何物料的安全保管，并必须自费补充丢失的或被盗的物料等。                                </w:t>
      </w:r>
    </w:p>
    <w:p w14:paraId="12EB2ED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承包人亦必须自费补充在原来的安装或后来拆卸及重新安装时，因其工人的疏忽处理、储存或不当的操作工艺所损坏的任何物料。                                                      </w:t>
      </w:r>
    </w:p>
    <w:p w14:paraId="4BEF8D8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21.17工程和物料的保护</w:t>
      </w:r>
    </w:p>
    <w:p w14:paraId="5AD388F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必须为防备恶劣天气和意外损毁而进行必须的装箱或覆盖和保护所有的工程和物料。任何因上述影响而产生的破坏均应由承包人自费修好。特别是所有穿过地（底）板的贯穿物均应盖好，以防止水渗入或漏入下一层，所有管道、管件、立管、污水管也应受到同样保护。同时，要切实做好防火、防盗、防电、防水、防破坏等工作。</w:t>
      </w:r>
    </w:p>
    <w:p w14:paraId="28EE456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21.18图纸上所示的所有标高均由承包人自行检定。承包人须负责由政府最近做出的基准测量导线，并设定一个临时基准点以决定此等标高，同时，通知发包人及工程师有关此等用途的基准点的详细资料。                                                    </w:t>
      </w:r>
    </w:p>
    <w:p w14:paraId="23A188B5">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在开工之前，承包人应核实所有尺寸和地面标高，当实际尺寸或标高与图纸所示有不一致时，应立刻报告给发包人及工程师做出澄清。为发包人及工程师需要作测验标高及放线的工作免费提供一切设备及劳务。                                    </w:t>
      </w:r>
    </w:p>
    <w:p w14:paraId="501B68B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任何工程偏离正确位置的程度大于工程规范内所述的可接受程度，承包人须自费纠正及修复一切上述错误的地方，并须承担一切因上述错误所引致任何的额外费用，同时，因此而提出的工期延长要求将不予考虑。                                      </w:t>
      </w:r>
    </w:p>
    <w:p w14:paraId="06BDA4D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由发包人及工程师进行的有关任何放线或任何标高的检查，在任何情况下均不能免除承包人对此等项目的准确程度复核应负的责任。                                                </w:t>
      </w:r>
    </w:p>
    <w:p w14:paraId="784EEAD0">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承包人埋设符合规范数量和质量要求的沉降观测点，并从结构施工开始至工程竣工按照规范要求进行沉降观测。工程竣工并</w:t>
      </w:r>
      <w:r>
        <w:rPr>
          <w:rFonts w:hint="eastAsia" w:ascii="宋体" w:hAnsi="宋体"/>
          <w:color w:val="auto"/>
          <w:sz w:val="24"/>
          <w:lang w:eastAsia="zh-CN"/>
        </w:rPr>
        <w:t>缺陷责任期</w:t>
      </w:r>
      <w:r>
        <w:rPr>
          <w:rFonts w:hint="eastAsia" w:ascii="宋体" w:hAnsi="宋体"/>
          <w:color w:val="auto"/>
          <w:sz w:val="24"/>
        </w:rPr>
        <w:t>满后，承包人将沉降观测点</w:t>
      </w:r>
      <w:r>
        <w:rPr>
          <w:rFonts w:hint="eastAsia" w:ascii="宋体" w:hAnsi="宋体"/>
          <w:color w:val="auto"/>
          <w:sz w:val="24"/>
          <w:lang w:eastAsia="zh-CN"/>
        </w:rPr>
        <w:t>及观测成果</w:t>
      </w:r>
      <w:r>
        <w:rPr>
          <w:rFonts w:hint="eastAsia" w:ascii="宋体" w:hAnsi="宋体"/>
          <w:color w:val="auto"/>
          <w:sz w:val="24"/>
        </w:rPr>
        <w:t>向发包人移交，由发包人进行沉降观测，</w:t>
      </w:r>
      <w:r>
        <w:rPr>
          <w:rFonts w:hint="eastAsia" w:ascii="宋体" w:hAnsi="宋体"/>
          <w:color w:val="auto"/>
          <w:sz w:val="24"/>
          <w:lang w:eastAsia="zh-CN"/>
        </w:rPr>
        <w:t>发包人再进行</w:t>
      </w:r>
      <w:r>
        <w:rPr>
          <w:rFonts w:hint="eastAsia" w:ascii="宋体" w:hAnsi="宋体"/>
          <w:color w:val="auto"/>
          <w:sz w:val="24"/>
        </w:rPr>
        <w:t xml:space="preserve">沉降观测所产生的费用由发包人承担。                                                                          </w:t>
      </w:r>
    </w:p>
    <w:p w14:paraId="36B2C14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21.19承包人总部应对其在本项目的项目经理部工作给予积极的支持，并对经理部的工作负有监督和管理的责任。                   </w:t>
      </w:r>
    </w:p>
    <w:p w14:paraId="40E346A9">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21.20会议制度</w:t>
      </w:r>
    </w:p>
    <w:p w14:paraId="7E8CB7D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承包人应按照规定按时参加工程师为本项目召开的工作例会。承包人的项目经理和技术负责人必须到会。连续三次不参加会议者发包方将有权通知承包方更换项目经理和技术负责人。</w:t>
      </w:r>
    </w:p>
    <w:p w14:paraId="21E609D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21.21承包人不得随意停工，承包人擅自停工（未向建设、监理单位报告），将视为承包人违约，发包人有权解除合同。              </w:t>
      </w:r>
    </w:p>
    <w:p w14:paraId="14BA6519">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21.22承包人负责编制、收集和整理本工程档案管理所需的全部资料，并征得发包人同意后，向相关部门移交备案。</w:t>
      </w:r>
    </w:p>
    <w:p w14:paraId="070A16D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21.23承包人对材料设备供应商的管理、服务、配合和协调工作：这些工作包括对工程承包人及材料、设备供应商的总体施工进度计划的安排、日常协调和管理；负责为工程材料、设备供应商及时提供足够的和无障碍的工作面；负责提供临时用水接驳点（包括但不限于生活用水、施工用水）、用电接驳点（包括但不限于生活用电、施工用电）、道路和仓储用地、用房等其他临时设施等的支持与配合，负责成品保护；负责整体工程的质量、工期、安全及文明施工等等。</w:t>
      </w:r>
    </w:p>
    <w:p w14:paraId="34E7814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21.24承包人在施工过程中要搞好现场管理，做到文明安全施工，严格执行发包人的管理规定。</w:t>
      </w:r>
    </w:p>
    <w:p w14:paraId="3E52115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21.25承包人应负责所承担工程竣工资料的整理、装订、归档工作，工程竣工验收后15日内，向城建局依法备案，向教育局存档。否则每逾期一天，罚款100元，纳入工程结算。</w:t>
      </w:r>
    </w:p>
    <w:p w14:paraId="78346F9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21.26承包人的到位人员及设备配置必须和投标书施工组织设计所列人员及设备配置相符，否则视为承包人违约。</w:t>
      </w:r>
    </w:p>
    <w:p w14:paraId="16228D5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21.27承包方项目部主要负责人和主要技术人员必须经常驻工地现场，制定有关应急预案，全方位负责工程施工、管理、安全防汛和渡汛，及时妥善处理有关突发事件。</w:t>
      </w:r>
    </w:p>
    <w:p w14:paraId="104B335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eastAsia="宋体" w:cs="宋体"/>
          <w:b/>
          <w:color w:val="auto"/>
          <w:sz w:val="24"/>
          <w:szCs w:val="24"/>
        </w:rPr>
      </w:pPr>
      <w:r>
        <w:rPr>
          <w:rFonts w:hint="eastAsia" w:ascii="宋体" w:hAnsi="宋体"/>
          <w:color w:val="auto"/>
          <w:sz w:val="24"/>
        </w:rPr>
        <w:t>21.2</w:t>
      </w:r>
      <w:r>
        <w:rPr>
          <w:rFonts w:hint="eastAsia" w:ascii="宋体" w:hAnsi="宋体"/>
          <w:color w:val="auto"/>
          <w:sz w:val="24"/>
          <w:lang w:val="en-US" w:eastAsia="zh-CN"/>
        </w:rPr>
        <w:t>8</w:t>
      </w:r>
      <w:r>
        <w:rPr>
          <w:rFonts w:hint="eastAsia" w:ascii="宋体" w:hAnsi="宋体"/>
          <w:color w:val="auto"/>
          <w:sz w:val="24"/>
        </w:rPr>
        <w:t>承包人须按期完成施工任务，不因进度款支付不及时或延缓支付影响施工进度或停工。若出现逾期未完成施工任务，发包人有权处以罚款、纳入教育项目失信惩戒名单等。</w:t>
      </w:r>
    </w:p>
    <w:p w14:paraId="5184D16A">
      <w:pPr>
        <w:pStyle w:val="13"/>
        <w:rPr>
          <w:rFonts w:hint="eastAsia"/>
          <w:color w:val="auto"/>
        </w:rPr>
      </w:pPr>
    </w:p>
    <w:p w14:paraId="0DA3C114">
      <w:pPr>
        <w:rPr>
          <w:rFonts w:hint="eastAsia" w:ascii="宋体" w:hAnsi="宋体" w:eastAsia="宋体" w:cs="宋体"/>
          <w:b w:val="0"/>
          <w:bCs/>
          <w:color w:val="auto"/>
          <w:sz w:val="24"/>
        </w:rPr>
      </w:pPr>
    </w:p>
    <w:p w14:paraId="607C1046">
      <w:pPr>
        <w:widowControl/>
        <w:spacing w:line="460" w:lineRule="exact"/>
        <w:jc w:val="left"/>
        <w:rPr>
          <w:rFonts w:hint="eastAsia" w:ascii="宋体" w:hAnsi="宋体" w:eastAsia="宋体" w:cs="宋体"/>
          <w:b w:val="0"/>
          <w:bCs/>
          <w:color w:val="auto"/>
          <w:sz w:val="24"/>
        </w:rPr>
      </w:pPr>
    </w:p>
    <w:p w14:paraId="61CA9481">
      <w:pPr>
        <w:widowControl/>
        <w:spacing w:line="460" w:lineRule="exact"/>
        <w:jc w:val="left"/>
        <w:rPr>
          <w:rFonts w:hint="eastAsia" w:ascii="宋体" w:hAnsi="宋体" w:eastAsia="宋体" w:cs="宋体"/>
          <w:b w:val="0"/>
          <w:bCs/>
          <w:color w:val="auto"/>
          <w:sz w:val="24"/>
        </w:rPr>
      </w:pPr>
    </w:p>
    <w:p w14:paraId="2F64D371">
      <w:pPr>
        <w:widowControl/>
        <w:spacing w:line="460" w:lineRule="exact"/>
        <w:jc w:val="left"/>
        <w:rPr>
          <w:rFonts w:hint="eastAsia" w:ascii="宋体" w:hAnsi="宋体" w:eastAsia="宋体" w:cs="宋体"/>
          <w:b w:val="0"/>
          <w:bCs/>
          <w:color w:val="auto"/>
          <w:sz w:val="24"/>
        </w:rPr>
      </w:pPr>
    </w:p>
    <w:p w14:paraId="43637161">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5"/>
    </w:p>
    <w:p w14:paraId="58400FF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附件1：工程质量保修书</w:t>
      </w:r>
    </w:p>
    <w:p w14:paraId="6A5E81C8">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附件2：暂估价一览表</w:t>
      </w:r>
    </w:p>
    <w:p w14:paraId="5A79E105">
      <w:pPr>
        <w:widowControl/>
        <w:spacing w:line="460" w:lineRule="exact"/>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3</w:t>
      </w:r>
      <w:r>
        <w:rPr>
          <w:rFonts w:hint="eastAsia" w:ascii="宋体" w:hAnsi="宋体" w:eastAsia="宋体" w:cs="宋体"/>
          <w:b w:val="0"/>
          <w:bCs/>
          <w:color w:val="auto"/>
          <w:sz w:val="24"/>
        </w:rPr>
        <w:t>：安全生产合同</w:t>
      </w:r>
    </w:p>
    <w:p w14:paraId="1EA0A17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4</w:t>
      </w:r>
      <w:r>
        <w:rPr>
          <w:rFonts w:hint="eastAsia" w:ascii="宋体" w:hAnsi="宋体" w:eastAsia="宋体" w:cs="宋体"/>
          <w:b w:val="0"/>
          <w:bCs/>
          <w:color w:val="auto"/>
          <w:sz w:val="24"/>
        </w:rPr>
        <w:t>：工程建设项目廉政责任书</w:t>
      </w:r>
    </w:p>
    <w:p w14:paraId="0858574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5</w:t>
      </w:r>
      <w:r>
        <w:rPr>
          <w:rFonts w:hint="eastAsia" w:ascii="宋体" w:hAnsi="宋体" w:eastAsia="宋体" w:cs="宋体"/>
          <w:b w:val="0"/>
          <w:bCs/>
          <w:color w:val="auto"/>
          <w:sz w:val="24"/>
        </w:rPr>
        <w:t>：农民工工资保证金交纳与使用承诺书</w:t>
      </w:r>
    </w:p>
    <w:p w14:paraId="6F81E219">
      <w:pPr>
        <w:spacing w:line="440" w:lineRule="exact"/>
        <w:outlineLvl w:val="9"/>
        <w:rPr>
          <w:rFonts w:hint="eastAsia" w:ascii="宋体" w:hAnsi="宋体" w:eastAsia="宋体" w:cs="宋体"/>
          <w:b w:val="0"/>
          <w:bCs/>
          <w:color w:val="auto"/>
          <w:sz w:val="24"/>
        </w:rPr>
      </w:pPr>
    </w:p>
    <w:p w14:paraId="3DCAF600">
      <w:pPr>
        <w:spacing w:line="440" w:lineRule="exact"/>
        <w:outlineLvl w:val="9"/>
        <w:rPr>
          <w:rFonts w:hint="eastAsia" w:ascii="宋体" w:hAnsi="宋体" w:eastAsia="宋体" w:cs="宋体"/>
          <w:b w:val="0"/>
          <w:bCs/>
          <w:color w:val="auto"/>
          <w:sz w:val="24"/>
        </w:rPr>
      </w:pPr>
    </w:p>
    <w:p w14:paraId="6DD1C61E">
      <w:pPr>
        <w:spacing w:line="440" w:lineRule="exact"/>
        <w:outlineLvl w:val="9"/>
        <w:rPr>
          <w:rFonts w:ascii="宋体" w:hAnsi="宋体"/>
          <w:color w:val="auto"/>
          <w:sz w:val="24"/>
        </w:rPr>
      </w:pPr>
      <w:bookmarkStart w:id="563" w:name="_GoBack"/>
      <w:bookmarkEnd w:id="563"/>
      <w:r>
        <w:rPr>
          <w:rFonts w:hint="eastAsia" w:ascii="宋体" w:hAnsi="宋体" w:cs="宋体"/>
          <w:b w:val="0"/>
          <w:bCs/>
          <w:color w:val="auto"/>
          <w:sz w:val="24"/>
          <w:lang w:val="en-US" w:eastAsia="zh-CN"/>
        </w:rPr>
        <w:t xml:space="preserve"> </w:t>
      </w:r>
      <w:r>
        <w:rPr>
          <w:rFonts w:hint="eastAsia" w:ascii="宋体" w:hAnsi="宋体"/>
          <w:color w:val="auto"/>
          <w:sz w:val="24"/>
        </w:rPr>
        <w:t>附</w:t>
      </w:r>
      <w:bookmarkStart w:id="556" w:name="_Toc267261692"/>
      <w:bookmarkEnd w:id="556"/>
      <w:bookmarkStart w:id="557" w:name="_Toc296891265"/>
      <w:bookmarkEnd w:id="557"/>
      <w:bookmarkStart w:id="558" w:name="_Toc296891053"/>
      <w:bookmarkEnd w:id="558"/>
      <w:bookmarkStart w:id="559" w:name="_Toc296346726"/>
      <w:bookmarkEnd w:id="559"/>
      <w:bookmarkStart w:id="560" w:name="_Toc296347224"/>
      <w:bookmarkEnd w:id="560"/>
      <w:bookmarkStart w:id="561" w:name="_Toc296944564"/>
      <w:bookmarkEnd w:id="561"/>
      <w:bookmarkStart w:id="562" w:name="_Toc296503225"/>
      <w:r>
        <w:rPr>
          <w:rFonts w:hint="eastAsia" w:ascii="宋体" w:hAnsi="宋体"/>
          <w:color w:val="auto"/>
          <w:sz w:val="24"/>
        </w:rPr>
        <w:t>件</w:t>
      </w:r>
      <w:bookmarkEnd w:id="562"/>
      <w:r>
        <w:rPr>
          <w:rFonts w:hint="eastAsia" w:ascii="宋体" w:hAnsi="宋体"/>
          <w:color w:val="auto"/>
          <w:sz w:val="24"/>
          <w:lang w:val="en-US" w:eastAsia="zh-CN"/>
        </w:rPr>
        <w:t>1</w:t>
      </w:r>
      <w:r>
        <w:rPr>
          <w:rFonts w:hint="eastAsia" w:ascii="宋体" w:hAnsi="宋体"/>
          <w:color w:val="auto"/>
          <w:sz w:val="24"/>
        </w:rPr>
        <w:t>：</w:t>
      </w:r>
      <w:r>
        <w:rPr>
          <w:rFonts w:ascii="宋体" w:hAnsi="宋体"/>
          <w:color w:val="auto"/>
          <w:sz w:val="24"/>
        </w:rPr>
        <w:t xml:space="preserve">  </w:t>
      </w:r>
    </w:p>
    <w:p w14:paraId="6998790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工程质量保修书</w:t>
      </w:r>
    </w:p>
    <w:p w14:paraId="6234F084">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7C59E7A">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06124C7">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2EDFDCC2">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一、工程质量保修范围和内容</w:t>
      </w:r>
    </w:p>
    <w:p w14:paraId="670CE57C">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承包人在质量保修期内，按照有关法律规定和合同约定，承担工程质量保修责任。</w:t>
      </w:r>
    </w:p>
    <w:p w14:paraId="55FFC741">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C41DC0D">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　　</w:t>
      </w:r>
      <w:r>
        <w:rPr>
          <w:rFonts w:hint="eastAsia" w:ascii="宋体" w:hAnsi="宋体" w:eastAsia="宋体" w:cs="宋体"/>
          <w:color w:val="auto"/>
          <w:sz w:val="24"/>
          <w:szCs w:val="24"/>
        </w:rPr>
        <w:t>二、质量保修期</w:t>
      </w:r>
    </w:p>
    <w:p w14:paraId="15D51B10">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2B1DF56A">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2E7EF4BD">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6FC80DB9">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01E0057">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579362B5">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333CCD94">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323DC60F">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82C611F">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质量保修期自工程竣工验收合格之日起计算。</w:t>
      </w:r>
    </w:p>
    <w:p w14:paraId="458A75D3">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2599555A">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24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1C121295">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24335372">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40694554">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0EC17383">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70AA1923">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4D62D3C">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1261E521">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五、保修费用</w:t>
      </w:r>
    </w:p>
    <w:p w14:paraId="0A2A2B33">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保修费用由造成质量缺陷的责任方承担。</w:t>
      </w:r>
    </w:p>
    <w:p w14:paraId="76378417">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08FD96C8">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706F086C">
      <w:pPr>
        <w:keepNext w:val="0"/>
        <w:keepLines w:val="0"/>
        <w:pageBreakBefore w:val="0"/>
        <w:widowControl/>
        <w:kinsoku/>
        <w:wordWrap/>
        <w:overflowPunct/>
        <w:topLinePunct w:val="0"/>
        <w:autoSpaceDE/>
        <w:autoSpaceDN/>
        <w:bidi w:val="0"/>
        <w:adjustRightInd/>
        <w:snapToGrid w:val="0"/>
        <w:spacing w:line="45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u w:val="single"/>
          <w:lang w:val="en-US" w:eastAsia="zh-CN"/>
        </w:rPr>
        <w:t>工程结算价款的     ％</w:t>
      </w:r>
      <w:r>
        <w:rPr>
          <w:rFonts w:hint="eastAsia" w:ascii="宋体" w:hAnsi="宋体"/>
          <w:color w:val="auto"/>
          <w:sz w:val="24"/>
          <w:u w:val="single"/>
        </w:rPr>
        <w:t xml:space="preserve"> </w:t>
      </w:r>
      <w:r>
        <w:rPr>
          <w:rFonts w:hint="eastAsia" w:ascii="宋体" w:hAnsi="宋体"/>
          <w:color w:val="auto"/>
          <w:sz w:val="24"/>
        </w:rPr>
        <w:t>。质量保修金不计利息。</w:t>
      </w:r>
    </w:p>
    <w:p w14:paraId="589066D5">
      <w:pPr>
        <w:keepNext w:val="0"/>
        <w:keepLines w:val="0"/>
        <w:pageBreakBefore w:val="0"/>
        <w:kinsoku/>
        <w:wordWrap/>
        <w:overflowPunct/>
        <w:topLinePunct w:val="0"/>
        <w:autoSpaceDE/>
        <w:autoSpaceDN/>
        <w:bidi w:val="0"/>
        <w:adjustRightInd/>
        <w:spacing w:line="45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ED4F109">
      <w:pPr>
        <w:keepNext w:val="0"/>
        <w:keepLines w:val="0"/>
        <w:pageBreakBefore w:val="0"/>
        <w:widowControl w:val="0"/>
        <w:kinsoku/>
        <w:wordWrap/>
        <w:overflowPunct/>
        <w:topLinePunct w:val="0"/>
        <w:autoSpaceDE/>
        <w:autoSpaceDN/>
        <w:bidi w:val="0"/>
        <w:adjustRightInd/>
        <w:snapToGrid/>
        <w:spacing w:line="45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0B5E2320">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rPr>
      </w:pPr>
    </w:p>
    <w:p w14:paraId="0DE6FB87">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5EB4B164">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669A1F06">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5BBA386">
      <w:pPr>
        <w:keepNext w:val="0"/>
        <w:keepLines w:val="0"/>
        <w:pageBreakBefore w:val="0"/>
        <w:tabs>
          <w:tab w:val="left" w:pos="4410"/>
        </w:tabs>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8CE26C">
      <w:pPr>
        <w:keepNext w:val="0"/>
        <w:keepLines w:val="0"/>
        <w:pageBreakBefore w:val="0"/>
        <w:kinsoku/>
        <w:wordWrap/>
        <w:overflowPunct/>
        <w:topLinePunct w:val="0"/>
        <w:autoSpaceDE/>
        <w:autoSpaceDN/>
        <w:bidi w:val="0"/>
        <w:adjustRightInd/>
        <w:snapToGrid/>
        <w:spacing w:line="450" w:lineRule="exact"/>
        <w:jc w:val="lef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eastAsia="宋体" w:cs="宋体"/>
          <w:color w:val="000000"/>
          <w:sz w:val="24"/>
          <w:szCs w:val="24"/>
          <w:u w:val="single"/>
          <w:lang w:val="en-US" w:eastAsia="zh-CN"/>
        </w:rPr>
        <w:t xml:space="preserve">                             </w:t>
      </w:r>
    </w:p>
    <w:p w14:paraId="32855BF4">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5145433">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6C671540">
      <w:pPr>
        <w:keepNext w:val="0"/>
        <w:keepLines w:val="0"/>
        <w:pageBreakBefore w:val="0"/>
        <w:kinsoku/>
        <w:wordWrap/>
        <w:overflowPunct/>
        <w:topLinePunct w:val="0"/>
        <w:autoSpaceDE/>
        <w:autoSpaceDN/>
        <w:bidi w:val="0"/>
        <w:adjustRightInd/>
        <w:snapToGrid/>
        <w:spacing w:line="45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r>
        <w:rPr>
          <w:rFonts w:hint="eastAsia" w:ascii="宋体" w:hAnsi="宋体" w:cs="宋体"/>
          <w:color w:val="000000"/>
          <w:spacing w:val="-17"/>
          <w:sz w:val="24"/>
          <w:szCs w:val="24"/>
          <w:u w:val="single"/>
          <w:lang w:val="en-US" w:eastAsia="zh-CN"/>
        </w:rPr>
        <w:t xml:space="preserve">                                </w:t>
      </w:r>
      <w:r>
        <w:rPr>
          <w:rFonts w:hint="eastAsia" w:ascii="宋体" w:hAnsi="宋体" w:cs="宋体"/>
          <w:color w:val="FFFFFF"/>
          <w:spacing w:val="-17"/>
          <w:sz w:val="24"/>
          <w:szCs w:val="24"/>
          <w:u w:val="single"/>
          <w:lang w:val="en-US" w:eastAsia="zh-CN"/>
        </w:rPr>
        <w:t>、</w:t>
      </w:r>
      <w:r>
        <w:rPr>
          <w:rFonts w:hint="eastAsia" w:ascii="宋体" w:hAnsi="宋体" w:eastAsia="宋体" w:cs="宋体"/>
          <w:color w:val="FFFFFF"/>
          <w:spacing w:val="-17"/>
          <w:sz w:val="24"/>
          <w:szCs w:val="24"/>
          <w:u w:val="single"/>
          <w:lang w:val="en-US" w:eastAsia="zh-CN"/>
        </w:rPr>
        <w:t xml:space="preserve"> </w:t>
      </w:r>
      <w:r>
        <w:rPr>
          <w:rFonts w:hint="eastAsia" w:ascii="宋体" w:hAnsi="宋体" w:eastAsia="宋体" w:cs="宋体"/>
          <w:color w:val="000000"/>
          <w:spacing w:val="-17"/>
          <w:sz w:val="24"/>
          <w:szCs w:val="24"/>
          <w:u w:val="single"/>
          <w:lang w:val="en-US" w:eastAsia="zh-CN"/>
        </w:rPr>
        <w:t xml:space="preserve">                                    </w:t>
      </w:r>
    </w:p>
    <w:p w14:paraId="16DBD674">
      <w:pPr>
        <w:spacing w:line="440" w:lineRule="exact"/>
        <w:outlineLvl w:val="9"/>
        <w:rPr>
          <w:rFonts w:hint="eastAsia" w:ascii="宋体" w:hAnsi="宋体"/>
          <w:color w:val="auto"/>
          <w:sz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b/>
          <w:bCs/>
          <w:color w:val="auto"/>
          <w:sz w:val="24"/>
        </w:rPr>
        <w:br w:type="page"/>
      </w:r>
      <w:r>
        <w:rPr>
          <w:rFonts w:hint="eastAsia" w:ascii="宋体" w:hAnsi="宋体"/>
          <w:color w:val="auto"/>
          <w:sz w:val="24"/>
        </w:rPr>
        <w:t>附件</w:t>
      </w:r>
      <w:r>
        <w:rPr>
          <w:rFonts w:hint="eastAsia" w:ascii="宋体" w:hAnsi="宋体"/>
          <w:color w:val="auto"/>
          <w:sz w:val="24"/>
          <w:lang w:val="en-US" w:eastAsia="zh-CN"/>
        </w:rPr>
        <w:t>2</w:t>
      </w:r>
      <w:r>
        <w:rPr>
          <w:rFonts w:hint="eastAsia" w:ascii="宋体" w:hAnsi="宋体"/>
          <w:color w:val="auto"/>
          <w:sz w:val="24"/>
        </w:rPr>
        <w:t>：</w:t>
      </w:r>
    </w:p>
    <w:p w14:paraId="28B39C19">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专业工程暂估价表</w:t>
      </w:r>
    </w:p>
    <w:tbl>
      <w:tblPr>
        <w:tblStyle w:val="22"/>
        <w:tblW w:w="8817" w:type="dxa"/>
        <w:jc w:val="center"/>
        <w:tblLayout w:type="fixed"/>
        <w:tblCellMar>
          <w:top w:w="0" w:type="dxa"/>
          <w:left w:w="28" w:type="dxa"/>
          <w:bottom w:w="0" w:type="dxa"/>
          <w:right w:w="28" w:type="dxa"/>
        </w:tblCellMar>
      </w:tblPr>
      <w:tblGrid>
        <w:gridCol w:w="879"/>
        <w:gridCol w:w="4973"/>
        <w:gridCol w:w="1689"/>
        <w:gridCol w:w="1276"/>
      </w:tblGrid>
      <w:tr w14:paraId="0E19B238">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612AEB15">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序号</w:t>
            </w:r>
          </w:p>
        </w:tc>
        <w:tc>
          <w:tcPr>
            <w:tcW w:w="4973" w:type="dxa"/>
            <w:tcBorders>
              <w:top w:val="single" w:color="auto" w:sz="12" w:space="0"/>
              <w:left w:val="single" w:color="auto" w:sz="6" w:space="0"/>
              <w:bottom w:val="double" w:color="auto" w:sz="2" w:space="0"/>
              <w:right w:val="single" w:color="auto" w:sz="6" w:space="0"/>
            </w:tcBorders>
            <w:noWrap w:val="0"/>
            <w:vAlign w:val="center"/>
          </w:tcPr>
          <w:p w14:paraId="60890778">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专业工程名称</w:t>
            </w:r>
          </w:p>
        </w:tc>
        <w:tc>
          <w:tcPr>
            <w:tcW w:w="1689" w:type="dxa"/>
            <w:tcBorders>
              <w:top w:val="single" w:color="auto" w:sz="12" w:space="0"/>
              <w:left w:val="single" w:color="auto" w:sz="6" w:space="0"/>
              <w:bottom w:val="double" w:color="auto" w:sz="2" w:space="0"/>
              <w:right w:val="single" w:color="auto" w:sz="6" w:space="0"/>
            </w:tcBorders>
            <w:noWrap w:val="0"/>
            <w:vAlign w:val="center"/>
          </w:tcPr>
          <w:p w14:paraId="7739CCA1">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66251C07">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金额</w:t>
            </w:r>
          </w:p>
        </w:tc>
      </w:tr>
      <w:tr w14:paraId="24403185">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center"/>
          </w:tcPr>
          <w:p w14:paraId="10AF146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double" w:color="auto" w:sz="2" w:space="0"/>
              <w:left w:val="single" w:color="auto" w:sz="6" w:space="0"/>
              <w:bottom w:val="single" w:color="auto" w:sz="6" w:space="0"/>
              <w:right w:val="single" w:color="auto" w:sz="6" w:space="0"/>
            </w:tcBorders>
            <w:noWrap w:val="0"/>
            <w:vAlign w:val="center"/>
          </w:tcPr>
          <w:p w14:paraId="454309EB">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double" w:color="auto" w:sz="2" w:space="0"/>
              <w:left w:val="single" w:color="auto" w:sz="6" w:space="0"/>
              <w:bottom w:val="single" w:color="auto" w:sz="6" w:space="0"/>
              <w:right w:val="single" w:color="auto" w:sz="6" w:space="0"/>
            </w:tcBorders>
            <w:noWrap w:val="0"/>
            <w:vAlign w:val="center"/>
          </w:tcPr>
          <w:p w14:paraId="4BD10B1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double" w:color="auto" w:sz="2" w:space="0"/>
              <w:left w:val="single" w:color="auto" w:sz="6" w:space="0"/>
              <w:bottom w:val="single" w:color="auto" w:sz="6" w:space="0"/>
              <w:right w:val="single" w:color="auto" w:sz="12" w:space="0"/>
            </w:tcBorders>
            <w:noWrap w:val="0"/>
            <w:vAlign w:val="center"/>
          </w:tcPr>
          <w:p w14:paraId="2ACF692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E5A438F">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6A914E32">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09146B2D">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5E23A035">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587844A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46D63D99">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3D8CBA0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0EE34811">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3E4E695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7C0BF2E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0EF1C684">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ED75CD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2BF8AFF8">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7EF40F25">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7E5E52F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02DB3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DF0BFB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CA86A0D">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52AC128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7080A0A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1EC5FB3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8D6A58A">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729DB86C">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0ADFD412">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7F0A0E15">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4FC72C6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20FDAC9A">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7203F1D9">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050A1CB6">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160FFC5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73FD59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1ED52A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705E0C4">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3FD82D9">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09DA6AB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2F61B5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2220F62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AB795C4">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5830DB0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6E738EF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6B65252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30C6494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7C5457E">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FA4EA5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F168B96">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2FABF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6336CB0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4AEB66B9">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2847C64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4DDEB59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4F02B53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3A23FE9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4243C84A">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0A5478D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D09322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2B878FC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241BD6D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5F9265C7">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17ED172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5CB2A29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437BCE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87F859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50398E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378811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2257D9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02F2A87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857075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A6A851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26A4331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DDD2B5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1A8DEA0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5A7C70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1262587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28624A1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FF03C0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FAB675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4C509B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8B5589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CA83C2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D31EC57">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7E829DB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71092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3A87706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D9BC06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9A1589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063AEB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5FB6A7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4951BE4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51B02A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6B6301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10D215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09D406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11614A5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A27C60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9F7AE6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401618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C5C42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B03B31A">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7022AA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6272C7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14DA3E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5952A6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92934D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2DBCADD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41F172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2609755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FF3B15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990550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0B0BA2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576AFA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123E7FE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1AE679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BD82FB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EAEC6A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189182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E1853C1">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F088F4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42DF8E8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1C95565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C8F9A8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14341A31">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122FE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5BD9E8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9A6BDA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49AA09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1EAEE68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ACF7DC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1E65782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568CA67">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A56289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E881CCF">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19B6950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小计：</w:t>
            </w:r>
            <w:r>
              <w:rPr>
                <w:rFonts w:hint="eastAsia" w:ascii="宋体" w:hAnsi="宋体" w:eastAsia="Times New Roman" w:cs="Times New Roman"/>
                <w:color w:val="auto"/>
                <w:sz w:val="24"/>
                <w:lang w:val="en-US" w:eastAsia="zh-CN"/>
              </w:rPr>
              <w:t xml:space="preserve">            元（         ）</w:t>
            </w:r>
          </w:p>
        </w:tc>
      </w:tr>
    </w:tbl>
    <w:p w14:paraId="753F4E3E">
      <w:pPr>
        <w:spacing w:line="500" w:lineRule="exact"/>
        <w:outlineLvl w:val="9"/>
        <w:rPr>
          <w:rFonts w:hint="eastAsia" w:ascii="宋体" w:hAnsi="宋体" w:eastAsia="宋体" w:cs="宋体"/>
          <w:color w:val="auto"/>
          <w:sz w:val="28"/>
          <w:u w:val="thick"/>
          <w:lang w:val="en-US" w:eastAsia="zh-CN"/>
        </w:rPr>
      </w:pPr>
    </w:p>
    <w:p w14:paraId="02F9C2F2">
      <w:pPr>
        <w:pStyle w:val="9"/>
        <w:rPr>
          <w:rFonts w:hint="eastAsia" w:ascii="宋体" w:hAnsi="宋体" w:eastAsia="宋体" w:cs="宋体"/>
          <w:color w:val="auto"/>
          <w:sz w:val="28"/>
          <w:u w:val="thick"/>
          <w:lang w:val="en-US" w:eastAsia="zh-CN"/>
        </w:rPr>
      </w:pPr>
    </w:p>
    <w:p w14:paraId="1F89F420">
      <w:pPr>
        <w:jc w:val="left"/>
        <w:rPr>
          <w:rFonts w:hint="eastAsia" w:ascii="宋体" w:hAnsi="宋体" w:cs="宋体"/>
          <w:sz w:val="24"/>
        </w:rPr>
      </w:pPr>
    </w:p>
    <w:p w14:paraId="2C66B466">
      <w:pPr>
        <w:jc w:val="left"/>
        <w:rPr>
          <w:rFonts w:ascii="宋体" w:hAnsi="宋体" w:cs="宋体"/>
          <w:sz w:val="24"/>
        </w:rPr>
      </w:pPr>
      <w:r>
        <w:rPr>
          <w:rFonts w:hint="eastAsia" w:ascii="宋体" w:hAnsi="宋体" w:cs="宋体"/>
          <w:sz w:val="24"/>
        </w:rPr>
        <w:t>附件</w:t>
      </w:r>
      <w:r>
        <w:rPr>
          <w:rFonts w:hint="eastAsia" w:ascii="宋体" w:hAnsi="宋体" w:cs="宋体"/>
          <w:sz w:val="24"/>
          <w:lang w:val="en-US" w:eastAsia="zh-CN"/>
        </w:rPr>
        <w:t>3</w:t>
      </w:r>
      <w:r>
        <w:rPr>
          <w:rFonts w:hint="eastAsia" w:ascii="宋体" w:hAnsi="宋体" w:cs="宋体"/>
          <w:sz w:val="24"/>
        </w:rPr>
        <w:t>：</w:t>
      </w:r>
    </w:p>
    <w:p w14:paraId="0A8662AD">
      <w:pPr>
        <w:spacing w:line="400" w:lineRule="exact"/>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8"/>
          <w:szCs w:val="28"/>
        </w:rPr>
        <w:t>安全生产合同</w:t>
      </w:r>
    </w:p>
    <w:p w14:paraId="060B889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sz w:val="24"/>
          <w:szCs w:val="24"/>
        </w:rPr>
      </w:pPr>
      <w:r>
        <w:rPr>
          <w:rFonts w:hint="eastAsia" w:ascii="宋体" w:hAnsi="宋体" w:eastAsia="宋体" w:cs="宋体"/>
          <w:sz w:val="24"/>
          <w:szCs w:val="24"/>
        </w:rPr>
        <w:t>发包人（全称）：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sz w:val="24"/>
          <w:szCs w:val="24"/>
        </w:rPr>
        <w:t xml:space="preserve">             </w:t>
      </w:r>
    </w:p>
    <w:p w14:paraId="7946B01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Cs/>
          <w:color w:val="000000"/>
          <w:sz w:val="24"/>
          <w:szCs w:val="24"/>
        </w:rPr>
      </w:pPr>
      <w:r>
        <w:rPr>
          <w:rFonts w:hint="eastAsia" w:ascii="宋体" w:hAnsi="宋体" w:eastAsia="宋体" w:cs="宋体"/>
          <w:b w:val="0"/>
          <w:bCs/>
          <w:sz w:val="24"/>
          <w:szCs w:val="24"/>
        </w:rPr>
        <w:t>承包人（全称）：</w:t>
      </w:r>
      <w:r>
        <w:rPr>
          <w:rFonts w:hint="eastAsia" w:ascii="宋体" w:hAnsi="宋体" w:eastAsia="宋体" w:cs="宋体"/>
          <w:b w:val="0"/>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16FB3FF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为了切实加强施工现场安全生产管理，确保</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的顺利实施及相关作业人员的安全，据《中华人民共和国安全生产法》、《建设工程安全生产管理条例》等相关法规定，遵循平等、自愿、公平和诚实信用的原则，签定本合同。</w:t>
      </w:r>
    </w:p>
    <w:p w14:paraId="3AEF526A">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1.发包人职责</w:t>
      </w:r>
    </w:p>
    <w:p w14:paraId="7BB5E84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（1）严格遵守国家有关安全生产的法律法规，认真执行工程承包合同中的有关安全要求。</w:t>
      </w:r>
    </w:p>
    <w:p w14:paraId="16F7253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（2）按照“安全第一、预防为主”和坚持“管生产必须管安全”的原则进行安全生产管理，做到生产与安全工作同时计划、布置、检查、总结和评比。</w:t>
      </w:r>
    </w:p>
    <w:p w14:paraId="5E4114D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（3）重要的安全设施必须坚持与主体工程“三同时”的原则，即：同时设计、同时施工、同时投入使用。</w:t>
      </w:r>
    </w:p>
    <w:p w14:paraId="6260DFB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（4）定期召开安全生产调度会，及时传达中央及地方有关安全生产的精神。</w:t>
      </w:r>
    </w:p>
    <w:p w14:paraId="59BC891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（5）组织对承包人施工现场进行安全生产检查，监督承包人及时处理发现的各种安全隐患。</w:t>
      </w:r>
    </w:p>
    <w:p w14:paraId="66C7BFBF">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2.承包人职责</w:t>
      </w:r>
    </w:p>
    <w:p w14:paraId="57A10A3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（1）严格遵守《中华人民共和国安全生产法》、《建设工程安全生产管理条例》等国家有关安全生产的法律法规。认真执行工程承包合同中的有关安全要求。</w:t>
      </w:r>
    </w:p>
    <w:p w14:paraId="0C260B9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坚持“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4DBACC6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建立健全安全生产责任制。从项目经理到生产工人的安全生产管理系统必须做到纵向到底，一环不漏；各职能部门、人员的安全生产责任制做到横向到边，人人有责。项目经理是安全生产的第一责任人。现场设置的安全机构，应按国家相关规定的最低数量和资质条件配备专职安全生产管理人员，专职负责所有员工的安全和治安保卫工作及预防事故的发生。安全机构人员有权按有关规定发布指令，并采取保护性措施防止事故发生。</w:t>
      </w:r>
    </w:p>
    <w:p w14:paraId="13ED1A6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（4）承包人在任何时候都应采取各种合理的预防措施，防止其员工发生任何违法、违禁、暴力或妨碍治安的行为。</w:t>
      </w:r>
    </w:p>
    <w:p w14:paraId="4CFF33A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潜水等特殊工种的人员，经过专业培训，获得安全操作合格证后，方准持证上岗。施工现场如出现特种作业无证操作现象时，项目经理必须承担管理责任。</w:t>
      </w:r>
    </w:p>
    <w:p w14:paraId="0888C62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（6）对于易燃易爆的材料除应专门妥善保管之外，还应配备有足够的消防设施，所有施工人员都应熟悉消防设备的性能和使用方法；承包人不得将任何种类的爆炸物给予、易货或以其他方式转让给任何其他人。</w:t>
      </w:r>
    </w:p>
    <w:p w14:paraId="4566E7A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（7）操作人员上岗，必须按规定穿戴防护用品。施工负责人和安全员应随时检查劳动防护用品的穿戴情况，不按规定穿戴防护用品的人员不得上岗。</w:t>
      </w:r>
    </w:p>
    <w:p w14:paraId="2431420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（8）所有用电设备、施工机具设备和高空作业的设备均应定期检查，并有安全员的签字记录，保证其经常处于完好状态；不合格的机具、设备和劳动保护用品严禁使用。</w:t>
      </w:r>
    </w:p>
    <w:p w14:paraId="70E9056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（9）施工中采用新技术、新工艺、新设备、新材料时，必须制定相应的安全技术措施，施工现场必须具有相关的安全标志牌。</w:t>
      </w:r>
    </w:p>
    <w:p w14:paraId="0A8FF92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pacing w:val="-6"/>
          <w:sz w:val="24"/>
          <w:szCs w:val="24"/>
        </w:rPr>
      </w:pPr>
      <w:r>
        <w:rPr>
          <w:rFonts w:hint="eastAsia" w:ascii="宋体" w:hAnsi="宋体" w:eastAsia="宋体" w:cs="宋体"/>
          <w:color w:val="000000"/>
          <w:sz w:val="24"/>
          <w:szCs w:val="24"/>
        </w:rPr>
        <w:t>（10）</w:t>
      </w:r>
      <w:r>
        <w:rPr>
          <w:rFonts w:hint="eastAsia" w:ascii="宋体" w:hAnsi="宋体" w:eastAsia="宋体" w:cs="宋体"/>
          <w:color w:val="000000"/>
          <w:spacing w:val="-6"/>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1A37B75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（11）安全生产费用按照国家相关规定使用和管理。</w:t>
      </w:r>
    </w:p>
    <w:p w14:paraId="0C5CF590">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3.违约责任</w:t>
      </w:r>
    </w:p>
    <w:p w14:paraId="11121CE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如因发包人或承包人违约造成安全事故，将依法追究责任。</w:t>
      </w:r>
    </w:p>
    <w:p w14:paraId="78F0A817">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4.</w:t>
      </w:r>
      <w:r>
        <w:rPr>
          <w:rFonts w:hint="eastAsia" w:ascii="宋体" w:hAnsi="宋体" w:eastAsia="宋体" w:cs="宋体"/>
          <w:color w:val="000000"/>
          <w:sz w:val="24"/>
          <w:szCs w:val="24"/>
        </w:rPr>
        <w:t>本合同由双方法定代表人或其授权的代理人签署并加盖单位章后生效，全部工程竣工验收后失效。</w:t>
      </w:r>
    </w:p>
    <w:p w14:paraId="3B90A1AF">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5.</w:t>
      </w:r>
      <w:r>
        <w:rPr>
          <w:rFonts w:hint="eastAsia" w:ascii="宋体" w:hAnsi="宋体" w:eastAsia="宋体" w:cs="宋体"/>
          <w:bCs/>
          <w:color w:val="000000"/>
          <w:sz w:val="24"/>
          <w:szCs w:val="24"/>
        </w:rPr>
        <w:t>本合同正本贰份、副本肆份。合同双方各执正本壹份，副本贰份。</w:t>
      </w:r>
    </w:p>
    <w:p w14:paraId="356137F7">
      <w:pPr>
        <w:spacing w:line="600" w:lineRule="exact"/>
        <w:rPr>
          <w:rFonts w:hint="eastAsia" w:ascii="宋体" w:hAnsi="宋体" w:eastAsia="宋体" w:cs="宋体"/>
          <w:color w:val="000000"/>
          <w:sz w:val="24"/>
          <w:szCs w:val="24"/>
        </w:rPr>
      </w:pPr>
    </w:p>
    <w:p w14:paraId="36D54399">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04AEB87F">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7156C41C">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35D5D92D">
      <w:pPr>
        <w:spacing w:line="600" w:lineRule="exact"/>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年    月   日</w:t>
      </w:r>
    </w:p>
    <w:p w14:paraId="72650082">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4</w:t>
      </w:r>
      <w:r>
        <w:rPr>
          <w:rFonts w:hint="eastAsia" w:ascii="宋体" w:hAnsi="宋体" w:cs="宋体"/>
          <w:sz w:val="24"/>
        </w:rPr>
        <w:t>：</w:t>
      </w:r>
    </w:p>
    <w:p w14:paraId="4EF0F3C9">
      <w:pPr>
        <w:jc w:val="left"/>
        <w:rPr>
          <w:rFonts w:hint="eastAsia" w:ascii="宋体" w:hAnsi="宋体" w:cs="宋体"/>
          <w:sz w:val="24"/>
        </w:rPr>
      </w:pPr>
    </w:p>
    <w:p w14:paraId="1208AA40">
      <w:pPr>
        <w:spacing w:line="400" w:lineRule="exact"/>
        <w:jc w:val="center"/>
        <w:rPr>
          <w:rFonts w:hint="eastAsia" w:ascii="宋体" w:hAnsi="宋体" w:eastAsia="宋体" w:cs="宋体"/>
          <w:sz w:val="21"/>
          <w:szCs w:val="21"/>
        </w:rPr>
      </w:pPr>
      <w:r>
        <w:rPr>
          <w:rFonts w:hint="eastAsia" w:ascii="宋体" w:hAnsi="宋体" w:eastAsia="宋体" w:cs="宋体"/>
          <w:b/>
          <w:bCs/>
          <w:sz w:val="28"/>
          <w:szCs w:val="28"/>
        </w:rPr>
        <w:t>工程建设项目廉政责任书</w:t>
      </w:r>
    </w:p>
    <w:p w14:paraId="720CA8E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sz w:val="24"/>
          <w:szCs w:val="24"/>
        </w:rPr>
        <w:t xml:space="preserve">             </w:t>
      </w:r>
    </w:p>
    <w:p w14:paraId="18A3C03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C3D5D3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 </w:t>
      </w:r>
    </w:p>
    <w:p w14:paraId="471CE05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第一条双方的责任 </w:t>
      </w:r>
    </w:p>
    <w:p w14:paraId="0448A0F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（一）应严格遵守国家关于市场准入、项目招标投标、工程建设、施工安装和市场活动等有关法律、法规，相关政策，以及廉政建设的各项规定。 </w:t>
      </w:r>
    </w:p>
    <w:p w14:paraId="12674D7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（二）严格执行建设工程项目合同文件，自觉按合同办事。 </w:t>
      </w:r>
    </w:p>
    <w:p w14:paraId="7D4B451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（三）业务活动必须坚持公开、公平、公正、诚信、透明的原则，不得为获取不正当的利益，损害国家、集体和对方利益，不得违反工程建设管理、施工安装的规章制度。 </w:t>
      </w:r>
    </w:p>
    <w:p w14:paraId="3A64299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（四）发现对方在业务活动中有违规、违纪、违法行为的，应及时提醒对方，情节严重的，应向其上级主管部门或纪检监察、司法等有关机关举报。 </w:t>
      </w:r>
    </w:p>
    <w:p w14:paraId="62B948F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第二条发包人方的责任 </w:t>
      </w:r>
    </w:p>
    <w:p w14:paraId="2F34612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发包人方的领导和从事该建设工程项目的工作人员，在工程建设的事前、事中、事后应遵守以下规定： </w:t>
      </w:r>
    </w:p>
    <w:p w14:paraId="48DC3B5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（一）不准向承包人和相关单位索要或接受回扣、礼金、有价证券、贵重物品和好处费、感谢费等。 </w:t>
      </w:r>
    </w:p>
    <w:p w14:paraId="1ED8365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（二）不准在承包人和相关单位报销任何应由发包人或个人支付的费用。 </w:t>
      </w:r>
    </w:p>
    <w:p w14:paraId="1D14A8C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（三）不准要求、暗示和接受承包人和相关单位为个人装修住房、婚丧嫁娶、配偶子女的工作安排以及出国（境）、旅游等提供方便。 </w:t>
      </w:r>
    </w:p>
    <w:p w14:paraId="2FC3C3D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（四）不准参加有可能影响公正执行公务的承包人和相关单位的宴请和健身、娱乐等活动。 </w:t>
      </w:r>
    </w:p>
    <w:p w14:paraId="36FC980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 </w:t>
      </w:r>
    </w:p>
    <w:p w14:paraId="0FC279A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第三条承包人的责任 </w:t>
      </w:r>
    </w:p>
    <w:p w14:paraId="2B5DDAF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应与发包人保持正常的业务交往，按照有关法律法规和程序开展业务工作，严格执行工程建设的有关方针、政策，尤其是有关建筑施工安装的强制性标准和规范，并遵守以下规定： </w:t>
      </w:r>
    </w:p>
    <w:p w14:paraId="4AEFC0C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（一）不准以任何理由向发包人、相关单位及其工作人员索要、接受或赠送礼金、有价证券、贵重物品和回扣、好处费、感谢费等。 </w:t>
      </w:r>
    </w:p>
    <w:p w14:paraId="538C29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（二）不准以任何理由为发包人和相关单位报销应由对方或个人支付的费用。 </w:t>
      </w:r>
    </w:p>
    <w:p w14:paraId="17B1E1B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（三）不准接受或暗示为发包人、相关单位或个人装修住房、婚丧嫁娶、配偶子女的工作安排以及出国（境）、旅游等提供方便。 </w:t>
      </w:r>
    </w:p>
    <w:p w14:paraId="51DB4D8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（四）不准以任何理由为发包人、相关单位或个人组织有可能影响公正执行公务的宴请、健身、娱乐等活动。 </w:t>
      </w:r>
    </w:p>
    <w:p w14:paraId="5C38C98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第四条违约责任 </w:t>
      </w:r>
    </w:p>
    <w:p w14:paraId="47F4421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发包人工作人员有违反本责任书第一、二条责任行为的，按照管理权限，依据有关法律法规和规定给予党纪、政纪处分或组织处理；涉嫌犯罪的，移交司法机关追究刑事责任；给承包人单位造成经济损失的，应予以赔偿。 </w:t>
      </w:r>
    </w:p>
    <w:p w14:paraId="3587571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承包人工作人员有违反本责任书第一、三条责任行为的，按照管理权限，依据有关法律法规和规定给予党纪、政纪处分或组织处理；涉嫌犯罪的，移交司法机关追究刑事责任；给发包人单位造成经济损失的，应予以赔偿。 </w:t>
      </w:r>
    </w:p>
    <w:p w14:paraId="48CA56C1">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第五条</w:t>
      </w:r>
      <w:r>
        <w:rPr>
          <w:rFonts w:hint="eastAsia" w:ascii="宋体" w:hAnsi="宋体" w:eastAsia="宋体" w:cs="宋体"/>
          <w:sz w:val="24"/>
          <w:szCs w:val="24"/>
        </w:rPr>
        <w:t xml:space="preserve">本责任书作为工程施工合同的附件，与工程施工合同具有同等法律效力。经双方签署后立即生效。 </w:t>
      </w:r>
    </w:p>
    <w:p w14:paraId="2CC7E534">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第六条</w:t>
      </w:r>
      <w:r>
        <w:rPr>
          <w:rFonts w:hint="eastAsia" w:ascii="宋体" w:hAnsi="宋体" w:eastAsia="宋体" w:cs="宋体"/>
          <w:sz w:val="24"/>
          <w:szCs w:val="24"/>
        </w:rPr>
        <w:t xml:space="preserve">本责任书的有效期为双方签署之日起至该工程项目竣工验收合格时止。 </w:t>
      </w:r>
    </w:p>
    <w:p w14:paraId="253F8B13">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第七条</w:t>
      </w:r>
      <w:r>
        <w:rPr>
          <w:rFonts w:hint="eastAsia" w:ascii="宋体" w:hAnsi="宋体" w:eastAsia="宋体" w:cs="宋体"/>
          <w:bCs/>
          <w:color w:val="000000"/>
          <w:sz w:val="24"/>
          <w:szCs w:val="24"/>
        </w:rPr>
        <w:t>本合同正本贰份、副本肆份。合同双方各执正本壹份，副本贰份。</w:t>
      </w:r>
    </w:p>
    <w:p w14:paraId="582650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p>
    <w:p w14:paraId="038628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58B5A7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0F0E012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54DC6636">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cs="宋体"/>
          <w:sz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年    月   日</w:t>
      </w:r>
    </w:p>
    <w:p w14:paraId="2D95AED8">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5</w:t>
      </w:r>
      <w:r>
        <w:rPr>
          <w:rFonts w:hint="eastAsia" w:ascii="宋体" w:hAnsi="宋体" w:cs="宋体"/>
          <w:sz w:val="24"/>
        </w:rPr>
        <w:t>：</w:t>
      </w:r>
    </w:p>
    <w:p w14:paraId="593C90E2">
      <w:pPr>
        <w:jc w:val="center"/>
        <w:rPr>
          <w:rFonts w:ascii="宋体" w:hAnsi="宋体" w:cs="宋体"/>
          <w:b/>
          <w:bCs/>
          <w:sz w:val="24"/>
        </w:rPr>
      </w:pPr>
      <w:r>
        <w:rPr>
          <w:rFonts w:hint="eastAsia" w:ascii="宋体" w:hAnsi="宋体" w:cs="宋体"/>
          <w:b/>
          <w:bCs/>
          <w:sz w:val="24"/>
        </w:rPr>
        <w:t>农民工工资保证金交纳与使用承诺书</w:t>
      </w:r>
    </w:p>
    <w:p w14:paraId="7B10E67A">
      <w:pPr>
        <w:spacing w:line="480" w:lineRule="auto"/>
        <w:rPr>
          <w:rFonts w:ascii="宋体" w:hAnsi="宋体" w:cs="宋体"/>
          <w:sz w:val="24"/>
        </w:rPr>
      </w:pPr>
      <w:r>
        <w:rPr>
          <w:rFonts w:hint="eastAsia" w:ascii="宋体" w:hAnsi="宋体" w:cs="宋体"/>
          <w:sz w:val="24"/>
        </w:rPr>
        <w:t>致：</w:t>
      </w:r>
      <w:r>
        <w:rPr>
          <w:rFonts w:hint="eastAsia" w:ascii="宋体" w:hAnsi="宋体" w:cs="宋体"/>
          <w:sz w:val="24"/>
          <w:u w:val="single"/>
          <w:lang w:val="en-US" w:eastAsia="zh-CN"/>
        </w:rPr>
        <w:t xml:space="preserve">          </w:t>
      </w:r>
      <w:r>
        <w:rPr>
          <w:rFonts w:hint="eastAsia" w:ascii="宋体" w:hAnsi="宋体" w:cs="宋体"/>
          <w:sz w:val="24"/>
        </w:rPr>
        <w:t>（发包人名称）</w:t>
      </w:r>
    </w:p>
    <w:p w14:paraId="5FD40341">
      <w:pPr>
        <w:spacing w:line="480" w:lineRule="auto"/>
        <w:ind w:firstLine="480" w:firstLineChars="200"/>
        <w:rPr>
          <w:rFonts w:ascii="宋体" w:hAnsi="宋体" w:cs="宋体"/>
          <w:sz w:val="24"/>
        </w:rPr>
      </w:pPr>
      <w:r>
        <w:rPr>
          <w:rFonts w:hint="eastAsia" w:ascii="宋体" w:hAnsi="宋体" w:cs="宋体"/>
          <w:sz w:val="24"/>
        </w:rPr>
        <w:t>根据人社部发【2021】65号规定并结合银行监管和业务管理要求，我方在此向发包人承诺:</w:t>
      </w:r>
    </w:p>
    <w:p w14:paraId="75810B1F">
      <w:pPr>
        <w:spacing w:line="480" w:lineRule="auto"/>
        <w:ind w:firstLine="480" w:firstLineChars="200"/>
        <w:rPr>
          <w:rFonts w:ascii="宋体" w:hAnsi="宋体" w:cs="宋体"/>
          <w:sz w:val="24"/>
        </w:rPr>
      </w:pPr>
      <w:r>
        <w:rPr>
          <w:rFonts w:hint="eastAsia" w:ascii="宋体" w:hAnsi="宋体" w:cs="宋体"/>
          <w:sz w:val="24"/>
        </w:rPr>
        <w:t>1、我方保证在</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rPr>
        <w:t>（项目名称）施工过程中不出现拖欠或克扣农民工工资的行为。</w:t>
      </w:r>
    </w:p>
    <w:p w14:paraId="6FC4778D">
      <w:pPr>
        <w:spacing w:line="480" w:lineRule="auto"/>
        <w:ind w:firstLine="480" w:firstLineChars="200"/>
        <w:rPr>
          <w:rFonts w:ascii="宋体" w:hAnsi="宋体" w:cs="宋体"/>
          <w:sz w:val="24"/>
        </w:rPr>
      </w:pPr>
      <w:r>
        <w:rPr>
          <w:rFonts w:hint="eastAsia" w:ascii="宋体" w:hAnsi="宋体" w:cs="宋体"/>
          <w:sz w:val="24"/>
        </w:rPr>
        <w:t>2、我方保证在中标后10工作日内，持营业执照副本、与建设单位签订的施工合同在经办银行开立工资保证金专门账户并存储工资保证金（或提交银行保函）。</w:t>
      </w:r>
    </w:p>
    <w:p w14:paraId="0F2842C0">
      <w:pPr>
        <w:spacing w:line="480" w:lineRule="auto"/>
        <w:ind w:firstLine="480" w:firstLineChars="200"/>
        <w:rPr>
          <w:rFonts w:ascii="宋体" w:hAnsi="宋体" w:cs="宋体"/>
          <w:sz w:val="24"/>
        </w:rPr>
      </w:pPr>
      <w:r>
        <w:rPr>
          <w:rFonts w:hint="eastAsia" w:ascii="宋体" w:hAnsi="宋体" w:cs="宋体"/>
          <w:sz w:val="24"/>
        </w:rPr>
        <w:t>注：工资保证金按工程施工合同额(或年度合同额)的一定比例存储，不低于2%，不超过</w:t>
      </w:r>
      <w:r>
        <w:rPr>
          <w:rFonts w:hint="eastAsia" w:ascii="宋体" w:hAnsi="宋体" w:cs="宋体"/>
          <w:sz w:val="24"/>
          <w:highlight w:val="none"/>
        </w:rPr>
        <w:t>3%</w:t>
      </w:r>
      <w:r>
        <w:rPr>
          <w:rFonts w:hint="eastAsia" w:ascii="宋体" w:hAnsi="宋体" w:cs="宋体"/>
          <w:sz w:val="24"/>
          <w:highlight w:val="none"/>
          <w:lang w:eastAsia="zh-CN"/>
        </w:rPr>
        <w:t>，</w:t>
      </w:r>
      <w:r>
        <w:rPr>
          <w:rFonts w:hint="eastAsia" w:ascii="宋体" w:hAnsi="宋体" w:cs="宋体"/>
          <w:sz w:val="24"/>
          <w:highlight w:val="none"/>
        </w:rPr>
        <w:t>单</w:t>
      </w:r>
      <w:r>
        <w:rPr>
          <w:rFonts w:hint="eastAsia" w:ascii="宋体" w:hAnsi="宋体" w:cs="宋体"/>
          <w:sz w:val="24"/>
        </w:rPr>
        <w:t>个工程合同额较高的，可设定存储上限。存储工资保证金的施工总承包单位应与经办银行签订《农民工工资保证金存款协议书》，并将协议书副本送属地人力资源社会保障行政部门和建设单位备案。施工总承包单位可选择以银行保函替代现金存储工资保证金，保函担保金额不得低于按规定比例计算应存储的工资保证金数额。保函正本由属地人力资源社会保障行政部门保存。</w:t>
      </w:r>
    </w:p>
    <w:p w14:paraId="55A021FF">
      <w:pPr>
        <w:numPr>
          <w:ilvl w:val="0"/>
          <w:numId w:val="1"/>
        </w:numPr>
        <w:spacing w:line="480" w:lineRule="auto"/>
        <w:ind w:firstLine="480" w:firstLineChars="200"/>
        <w:rPr>
          <w:rFonts w:ascii="宋体" w:hAnsi="宋体" w:cs="宋体"/>
          <w:sz w:val="24"/>
        </w:rPr>
      </w:pPr>
      <w:r>
        <w:rPr>
          <w:rFonts w:hint="eastAsia" w:ascii="宋体" w:hAnsi="宋体" w:cs="宋体"/>
          <w:sz w:val="24"/>
        </w:rPr>
        <w:t>如我方在承包</w:t>
      </w:r>
      <w:r>
        <w:rPr>
          <w:rFonts w:hint="eastAsia" w:ascii="宋体" w:hAnsi="宋体" w:cs="宋体"/>
          <w:sz w:val="24"/>
          <w:u w:val="single"/>
          <w:lang w:val="en-US" w:eastAsia="zh-CN"/>
        </w:rPr>
        <w:t xml:space="preserve">               </w:t>
      </w:r>
      <w:r>
        <w:rPr>
          <w:rFonts w:hint="eastAsia" w:ascii="宋体" w:hAnsi="宋体" w:cs="宋体"/>
          <w:sz w:val="24"/>
        </w:rPr>
        <w:t>（项目名称）中出现拖欠或克扣农民工工资和其它职工工资情况的，经人力资源社会保障行政部门依法作出责令限期清偿或先行清偿的行政处理决定，施工总承包单位到期拒不履行的，属地人力资源社会保障行政部门可以向经办银行出具《农民工工资保证金支付通知书》，书面通知有关施工总承包单位和经办银行。经办银行应在收到《支付通知书》5个工作日内，从工资保证金账户（或提交银行保函）中将相应数额的款项以银行转账方式支付给属地人力资源社会保障行政部门指定的被拖欠工资农民工本人。施工总承包单位采用银行保函替代工资保证金，发生前款情形的，提供银行保函的经办银行应在收到《支付通知书》5个工作日内，依照银行保函约定支付农民工工资。</w:t>
      </w:r>
    </w:p>
    <w:p w14:paraId="50423807">
      <w:pPr>
        <w:pStyle w:val="16"/>
        <w:spacing w:line="360" w:lineRule="auto"/>
        <w:ind w:firstLine="480" w:firstLineChars="200"/>
        <w:rPr>
          <w:rFonts w:ascii="宋体" w:hAnsi="宋体" w:cs="宋体"/>
          <w:kern w:val="0"/>
          <w:sz w:val="24"/>
        </w:rPr>
      </w:pPr>
      <w:r>
        <w:rPr>
          <w:rFonts w:hint="eastAsia" w:ascii="宋体" w:hAnsi="宋体" w:cs="宋体"/>
          <w:sz w:val="24"/>
        </w:rPr>
        <w:t>4、</w:t>
      </w:r>
      <w:r>
        <w:rPr>
          <w:rFonts w:hint="eastAsia" w:ascii="宋体" w:hAnsi="宋体" w:cs="宋体"/>
          <w:kern w:val="0"/>
          <w:sz w:val="24"/>
        </w:rPr>
        <w:t>工资保证金使用后，施工总承包单位应当自使用之日起30个工作日内将工资保证金补足。</w:t>
      </w:r>
    </w:p>
    <w:p w14:paraId="03B76594">
      <w:pPr>
        <w:pStyle w:val="16"/>
        <w:spacing w:line="360" w:lineRule="auto"/>
        <w:ind w:firstLine="480" w:firstLineChars="200"/>
        <w:rPr>
          <w:rFonts w:ascii="宋体" w:hAnsi="宋体" w:cs="宋体"/>
          <w:color w:val="FF0000"/>
          <w:sz w:val="24"/>
        </w:rPr>
      </w:pPr>
      <w:r>
        <w:rPr>
          <w:rFonts w:hint="eastAsia" w:ascii="宋体" w:hAnsi="宋体" w:cs="宋体"/>
          <w:kern w:val="0"/>
          <w:sz w:val="24"/>
        </w:rPr>
        <w:t>采用银行保函替代工资保证金发生前款情形的，施工总承包单位应在30个工作日内提供与原保函相同担保范围和担保金额的新保函。施工总承包单位开立新保函后，原保函即行失效。</w:t>
      </w:r>
    </w:p>
    <w:p w14:paraId="2B24F054">
      <w:pPr>
        <w:spacing w:line="360" w:lineRule="auto"/>
        <w:ind w:firstLine="480" w:firstLineChars="200"/>
        <w:rPr>
          <w:rFonts w:ascii="宋体" w:hAnsi="宋体" w:cs="宋体"/>
          <w:sz w:val="24"/>
        </w:rPr>
      </w:pPr>
      <w:r>
        <w:rPr>
          <w:rFonts w:hint="eastAsia" w:ascii="宋体" w:hAnsi="宋体" w:cs="宋体"/>
          <w:sz w:val="24"/>
        </w:rPr>
        <w:t>5、如我方不按时足额存入农民工工资保证金（或提交银行保函），发包人有权取消我方中标资格和终止合同。</w:t>
      </w:r>
    </w:p>
    <w:p w14:paraId="544CF2F4">
      <w:pPr>
        <w:spacing w:line="480" w:lineRule="auto"/>
        <w:ind w:firstLine="480" w:firstLineChars="200"/>
        <w:rPr>
          <w:rFonts w:ascii="宋体" w:hAnsi="宋体" w:cs="宋体"/>
          <w:sz w:val="24"/>
        </w:rPr>
      </w:pPr>
      <w:r>
        <w:rPr>
          <w:rFonts w:hint="eastAsia" w:ascii="宋体" w:hAnsi="宋体" w:cs="宋体"/>
          <w:sz w:val="24"/>
        </w:rPr>
        <w:t>后附《农民工工资保证金存款协议书》《农民工工资保证金银行保函》《农民工工资保证金支付通知书》</w:t>
      </w:r>
    </w:p>
    <w:p w14:paraId="162189BE">
      <w:pPr>
        <w:spacing w:line="480" w:lineRule="auto"/>
        <w:ind w:firstLine="480" w:firstLineChars="200"/>
        <w:rPr>
          <w:rFonts w:ascii="宋体" w:hAnsi="宋体" w:cs="宋体"/>
          <w:sz w:val="24"/>
          <w:szCs w:val="32"/>
        </w:rPr>
      </w:pPr>
    </w:p>
    <w:p w14:paraId="530A672B">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承包人(公章)：</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w:t>
      </w:r>
      <w:r>
        <w:rPr>
          <w:rFonts w:hint="eastAsia" w:ascii="宋体" w:hAnsi="宋体" w:cs="宋体"/>
          <w:color w:val="000000"/>
          <w:sz w:val="24"/>
          <w:u w:val="none"/>
        </w:rPr>
        <w:t xml:space="preserve"> </w:t>
      </w:r>
    </w:p>
    <w:p w14:paraId="45A1FC43">
      <w:pPr>
        <w:spacing w:line="360" w:lineRule="auto"/>
        <w:ind w:firstLine="480" w:firstLineChars="200"/>
        <w:jc w:val="both"/>
        <w:rPr>
          <w:rFonts w:hint="default" w:ascii="宋体" w:hAnsi="宋体" w:eastAsia="宋体" w:cs="宋体"/>
          <w:color w:val="000000"/>
          <w:sz w:val="24"/>
          <w:u w:val="single"/>
          <w:lang w:val="en-US" w:eastAsia="zh-CN"/>
        </w:rPr>
      </w:pPr>
      <w:r>
        <w:rPr>
          <w:rFonts w:hint="eastAsia" w:ascii="宋体" w:hAnsi="宋体" w:cs="宋体"/>
          <w:color w:val="000000"/>
          <w:sz w:val="24"/>
        </w:rPr>
        <w:t>地  址：</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p>
    <w:p w14:paraId="14AE15A2">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379C2546">
      <w:pPr>
        <w:spacing w:line="360" w:lineRule="auto"/>
        <w:ind w:firstLine="480" w:firstLineChars="200"/>
        <w:jc w:val="both"/>
        <w:rPr>
          <w:rFonts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5142B04F">
      <w:pPr>
        <w:spacing w:line="360" w:lineRule="auto"/>
        <w:ind w:firstLine="480" w:firstLineChars="200"/>
        <w:jc w:val="both"/>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6A4CB392">
      <w:pPr>
        <w:spacing w:line="360" w:lineRule="auto"/>
        <w:ind w:firstLine="480" w:firstLineChars="200"/>
        <w:jc w:val="both"/>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w:t>
      </w:r>
      <w:r>
        <w:rPr>
          <w:rFonts w:hint="eastAsia" w:ascii="宋体" w:hAnsi="宋体" w:cs="宋体"/>
          <w:color w:val="000000"/>
          <w:sz w:val="24"/>
          <w:u w:val="single"/>
          <w:lang w:val="en-US" w:eastAsia="zh-CN"/>
        </w:rPr>
        <w:t>/</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14D0378C">
      <w:pPr>
        <w:spacing w:line="360" w:lineRule="auto"/>
        <w:ind w:firstLine="480" w:firstLineChars="200"/>
        <w:jc w:val="both"/>
        <w:rPr>
          <w:rFonts w:hint="default" w:ascii="宋体" w:hAnsi="宋体" w:cs="宋体"/>
          <w:color w:val="000000"/>
          <w:sz w:val="24"/>
          <w:lang w:val="en-US"/>
        </w:rPr>
      </w:pPr>
      <w:r>
        <w:rPr>
          <w:rFonts w:hint="eastAsia" w:ascii="宋体" w:hAnsi="宋体" w:cs="宋体"/>
          <w:color w:val="000000"/>
          <w:sz w:val="24"/>
        </w:rPr>
        <w:t>开户银行：</w:t>
      </w:r>
      <w:r>
        <w:rPr>
          <w:rFonts w:hint="eastAsia" w:ascii="宋体" w:hAnsi="宋体" w:cs="宋体"/>
          <w:color w:val="000000"/>
          <w:sz w:val="24"/>
          <w:u w:val="single"/>
          <w:lang w:val="en-US" w:eastAsia="zh-CN"/>
        </w:rPr>
        <w:t xml:space="preserve">                    </w:t>
      </w:r>
    </w:p>
    <w:p w14:paraId="3AED3272">
      <w:pPr>
        <w:spacing w:line="360" w:lineRule="auto"/>
        <w:ind w:firstLine="480" w:firstLineChars="200"/>
        <w:jc w:val="both"/>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5A415988">
      <w:pPr>
        <w:spacing w:line="480" w:lineRule="auto"/>
        <w:ind w:firstLine="480" w:firstLineChars="200"/>
        <w:jc w:val="both"/>
        <w:rPr>
          <w:rFonts w:ascii="宋体" w:hAnsi="宋体" w:cs="宋体"/>
          <w:color w:val="000000"/>
          <w:sz w:val="24"/>
          <w:u w:val="single"/>
        </w:rPr>
      </w:pPr>
      <w:r>
        <w:rPr>
          <w:rFonts w:hint="eastAsia" w:ascii="宋体" w:hAnsi="宋体" w:cs="宋体"/>
          <w:color w:val="000000"/>
          <w:sz w:val="24"/>
        </w:rPr>
        <w:t>邮政编码：</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1530D73F">
      <w:pPr>
        <w:pStyle w:val="21"/>
        <w:ind w:firstLine="480"/>
        <w:rPr>
          <w:rFonts w:ascii="宋体" w:hAnsi="宋体" w:cs="宋体"/>
          <w:color w:val="000000"/>
          <w:sz w:val="24"/>
          <w:u w:val="single"/>
        </w:rPr>
      </w:pPr>
    </w:p>
    <w:p w14:paraId="1EB1465C">
      <w:pPr>
        <w:spacing w:line="560" w:lineRule="exact"/>
        <w:jc w:val="both"/>
        <w:rPr>
          <w:rFonts w:hint="eastAsia" w:ascii="宋体" w:hAnsi="宋体" w:eastAsia="宋体" w:cs="宋体"/>
          <w:b/>
          <w:bCs w:val="0"/>
          <w:sz w:val="21"/>
          <w:szCs w:val="21"/>
          <w:lang w:eastAsia="zh-CN"/>
        </w:rPr>
      </w:pPr>
    </w:p>
    <w:p w14:paraId="7B5B5AF3">
      <w:pPr>
        <w:spacing w:line="560" w:lineRule="exact"/>
        <w:jc w:val="center"/>
        <w:rPr>
          <w:rFonts w:hint="eastAsia" w:ascii="宋体" w:hAnsi="宋体" w:eastAsia="宋体" w:cs="宋体"/>
          <w:b/>
          <w:bCs w:val="0"/>
          <w:sz w:val="24"/>
          <w:szCs w:val="24"/>
          <w:lang w:eastAsia="zh-CN"/>
        </w:rPr>
      </w:pPr>
    </w:p>
    <w:p w14:paraId="76EF750B">
      <w:pPr>
        <w:spacing w:line="560" w:lineRule="exact"/>
        <w:jc w:val="center"/>
        <w:rPr>
          <w:rFonts w:hint="eastAsia" w:ascii="宋体" w:hAnsi="宋体" w:eastAsia="宋体" w:cs="宋体"/>
          <w:b/>
          <w:bCs w:val="0"/>
          <w:sz w:val="24"/>
          <w:szCs w:val="24"/>
          <w:lang w:eastAsia="zh-CN"/>
        </w:rPr>
      </w:pPr>
    </w:p>
    <w:p w14:paraId="59005266">
      <w:pPr>
        <w:spacing w:line="560" w:lineRule="exact"/>
        <w:jc w:val="center"/>
        <w:rPr>
          <w:rFonts w:hint="eastAsia" w:ascii="宋体" w:hAnsi="宋体" w:eastAsia="宋体" w:cs="宋体"/>
          <w:b/>
          <w:bCs w:val="0"/>
          <w:sz w:val="24"/>
          <w:szCs w:val="24"/>
          <w:lang w:eastAsia="zh-CN"/>
        </w:rPr>
      </w:pPr>
    </w:p>
    <w:p w14:paraId="6CABA375">
      <w:pPr>
        <w:spacing w:line="560" w:lineRule="exact"/>
        <w:jc w:val="center"/>
        <w:rPr>
          <w:rFonts w:hint="eastAsia" w:ascii="宋体" w:hAnsi="宋体" w:eastAsia="宋体" w:cs="宋体"/>
          <w:b/>
          <w:bCs w:val="0"/>
          <w:sz w:val="24"/>
          <w:szCs w:val="24"/>
          <w:lang w:eastAsia="zh-CN"/>
        </w:rPr>
      </w:pPr>
    </w:p>
    <w:p w14:paraId="317C0A16">
      <w:pPr>
        <w:spacing w:line="560" w:lineRule="exact"/>
        <w:jc w:val="center"/>
        <w:rPr>
          <w:rFonts w:hint="eastAsia" w:ascii="宋体" w:hAnsi="宋体" w:eastAsia="宋体" w:cs="宋体"/>
          <w:b/>
          <w:bCs w:val="0"/>
          <w:sz w:val="24"/>
          <w:szCs w:val="24"/>
          <w:lang w:eastAsia="zh-CN"/>
        </w:rPr>
      </w:pPr>
    </w:p>
    <w:p w14:paraId="63A0DA3E">
      <w:pPr>
        <w:spacing w:line="560" w:lineRule="exact"/>
        <w:jc w:val="center"/>
        <w:rPr>
          <w:rFonts w:hint="eastAsia" w:ascii="宋体" w:hAnsi="宋体" w:eastAsia="宋体" w:cs="宋体"/>
          <w:kern w:val="0"/>
          <w:sz w:val="24"/>
          <w:szCs w:val="24"/>
        </w:rPr>
      </w:pPr>
      <w:r>
        <w:rPr>
          <w:rFonts w:hint="eastAsia" w:ascii="宋体" w:hAnsi="宋体" w:eastAsia="宋体" w:cs="宋体"/>
          <w:b/>
          <w:bCs w:val="0"/>
          <w:sz w:val="24"/>
          <w:szCs w:val="24"/>
          <w:lang w:eastAsia="zh-CN"/>
        </w:rPr>
        <w:t>农民工工资保证金存款协议书（样本）</w:t>
      </w:r>
    </w:p>
    <w:p w14:paraId="07E62036">
      <w:p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为做好农民工工资保证金监管，根据《保障农民工工资支付条例》和《工程建设领域农民工工资保证金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》，农民工工资保证金存储企业和银行就农民工工资保证金（以下简称工资保证金）的管理事项达成以下协议：</w:t>
      </w:r>
    </w:p>
    <w:p w14:paraId="5CBA0B52">
      <w:pPr>
        <w:numPr>
          <w:ilvl w:val="0"/>
          <w:numId w:val="2"/>
        </w:num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工资保证金存储企业（以下简称存储企业）依法缴存</w:t>
      </w:r>
      <w:r>
        <w:rPr>
          <w:rFonts w:hint="eastAsia" w:ascii="宋体" w:hAnsi="宋体" w:eastAsia="宋体" w:cs="宋体"/>
          <w:kern w:val="0"/>
          <w:sz w:val="24"/>
          <w:szCs w:val="24"/>
          <w:lang w:eastAsia="zh-CN"/>
        </w:rPr>
        <w:t>保障为</w:t>
      </w:r>
      <w:r>
        <w:rPr>
          <w:rFonts w:hint="eastAsia" w:ascii="宋体" w:hAnsi="宋体" w:eastAsia="宋体" w:cs="宋体"/>
          <w:kern w:val="0"/>
          <w:sz w:val="24"/>
          <w:szCs w:val="24"/>
        </w:rPr>
        <w:t>其承包工程提供劳动的农民工工资报酬权益的</w:t>
      </w:r>
      <w:r>
        <w:rPr>
          <w:rFonts w:hint="eastAsia" w:ascii="宋体" w:hAnsi="宋体" w:eastAsia="宋体" w:cs="宋体"/>
          <w:kern w:val="0"/>
          <w:sz w:val="24"/>
          <w:szCs w:val="24"/>
          <w:lang w:eastAsia="zh-CN"/>
        </w:rPr>
        <w:t>保证金</w:t>
      </w:r>
      <w:r>
        <w:rPr>
          <w:rFonts w:hint="eastAsia" w:ascii="宋体" w:hAnsi="宋体" w:eastAsia="宋体" w:cs="宋体"/>
          <w:kern w:val="0"/>
          <w:sz w:val="24"/>
          <w:szCs w:val="24"/>
        </w:rPr>
        <w:t>，除发生《工程建设领域农民工工资保证金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》第十九条的情形外，任何单位和个人不得使用</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w:t>
      </w:r>
    </w:p>
    <w:p w14:paraId="731D647C">
      <w:pPr>
        <w:numPr>
          <w:ilvl w:val="0"/>
          <w:numId w:val="0"/>
        </w:numPr>
        <w:spacing w:line="56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二、存储企业承诺按照</w:t>
      </w:r>
      <w:r>
        <w:rPr>
          <w:rFonts w:hint="eastAsia" w:ascii="宋体" w:hAnsi="宋体" w:eastAsia="宋体" w:cs="宋体"/>
          <w:kern w:val="0"/>
          <w:sz w:val="24"/>
          <w:szCs w:val="24"/>
        </w:rPr>
        <w:t>《工程建设领域农民工工资保证金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及本地区确定的具体缴存比例存储（补足）工资保证金，银行对存储（补足）是否足额不承担审查义务。</w:t>
      </w:r>
    </w:p>
    <w:p w14:paraId="750ED214">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、银行对存储企业缴存的工资保证金，按照（ ）年定期、到期自动转存管理。本金和全部利息收入归存储企业所有。</w:t>
      </w:r>
    </w:p>
    <w:p w14:paraId="09B6B66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、存储企业不得以缴纳工资保证金的有关凭证设定担保，银行应在出具的工资保证金有关凭证上注明“专用款项不得担保”字样。</w:t>
      </w:r>
    </w:p>
    <w:p w14:paraId="374CA5A9">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、工资保证金使用按照如下方式执行：</w:t>
      </w:r>
    </w:p>
    <w:p w14:paraId="21918937">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》第十九条情形需要使用工资保证金，工程项目所在</w:t>
      </w:r>
      <w:r>
        <w:rPr>
          <w:rFonts w:hint="eastAsia" w:ascii="宋体" w:hAnsi="宋体" w:eastAsia="宋体" w:cs="宋体"/>
          <w:kern w:val="0"/>
          <w:sz w:val="24"/>
          <w:szCs w:val="24"/>
          <w:lang w:eastAsia="zh-CN"/>
        </w:rPr>
        <w:t>地</w:t>
      </w:r>
      <w:r>
        <w:rPr>
          <w:rFonts w:hint="eastAsia" w:ascii="宋体" w:hAnsi="宋体" w:eastAsia="宋体" w:cs="宋体"/>
          <w:kern w:val="0"/>
          <w:sz w:val="24"/>
          <w:szCs w:val="24"/>
        </w:rPr>
        <w:t>的</w:t>
      </w:r>
      <w:r>
        <w:rPr>
          <w:rFonts w:hint="eastAsia" w:ascii="宋体" w:hAnsi="宋体" w:eastAsia="宋体" w:cs="宋体"/>
          <w:kern w:val="0"/>
          <w:sz w:val="24"/>
          <w:szCs w:val="24"/>
          <w:lang w:eastAsia="zh-CN"/>
        </w:rPr>
        <w:t>监管工资保证金的</w:t>
      </w:r>
      <w:r>
        <w:rPr>
          <w:rFonts w:hint="eastAsia" w:ascii="宋体" w:hAnsi="宋体" w:eastAsia="宋体" w:cs="宋体"/>
          <w:kern w:val="0"/>
          <w:sz w:val="24"/>
          <w:szCs w:val="24"/>
        </w:rPr>
        <w:t>人力资源社会保障</w:t>
      </w:r>
      <w:r>
        <w:rPr>
          <w:rFonts w:hint="eastAsia" w:ascii="宋体" w:hAnsi="宋体" w:eastAsia="宋体" w:cs="宋体"/>
          <w:kern w:val="0"/>
          <w:sz w:val="24"/>
          <w:szCs w:val="24"/>
          <w:lang w:eastAsia="zh-CN"/>
        </w:rPr>
        <w:t>行政</w:t>
      </w:r>
      <w:r>
        <w:rPr>
          <w:rFonts w:hint="eastAsia" w:ascii="宋体" w:hAnsi="宋体" w:eastAsia="宋体" w:cs="宋体"/>
          <w:kern w:val="0"/>
          <w:sz w:val="24"/>
          <w:szCs w:val="24"/>
        </w:rPr>
        <w:t>部门（以下简称人力资源社会保障部门）书面通知存储企业和银行，出具《农民工工资保证金</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通知书》（以下简称《</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通知书》）。银行根据《</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通知书》，从工资保证金</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中将相应数额的款项以银行转账方式支付给人力资源社会保障部门指定的</w:t>
      </w:r>
      <w:r>
        <w:rPr>
          <w:rFonts w:hint="eastAsia" w:ascii="宋体" w:hAnsi="宋体" w:eastAsia="宋体" w:cs="宋体"/>
          <w:kern w:val="0"/>
          <w:sz w:val="24"/>
          <w:szCs w:val="24"/>
          <w:lang w:eastAsia="zh-CN"/>
        </w:rPr>
        <w:t>支付对象（</w:t>
      </w:r>
      <w:r>
        <w:rPr>
          <w:rFonts w:hint="eastAsia" w:ascii="宋体" w:hAnsi="宋体" w:eastAsia="宋体" w:cs="宋体"/>
          <w:kern w:val="0"/>
          <w:sz w:val="24"/>
          <w:szCs w:val="24"/>
        </w:rPr>
        <w:t>农民工</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72A1107F">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非以上规定的情形而出现</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金减少，银行应承担补足责任</w:t>
      </w:r>
      <w:r>
        <w:rPr>
          <w:rFonts w:hint="eastAsia" w:ascii="宋体" w:hAnsi="宋体" w:eastAsia="宋体" w:cs="宋体"/>
          <w:kern w:val="0"/>
          <w:sz w:val="24"/>
          <w:szCs w:val="24"/>
          <w:lang w:eastAsia="zh-CN"/>
        </w:rPr>
        <w:t>，但因有权机关依法查封、冻结、划拨的除外</w:t>
      </w:r>
      <w:r>
        <w:rPr>
          <w:rFonts w:hint="eastAsia" w:ascii="宋体" w:hAnsi="宋体" w:eastAsia="宋体" w:cs="宋体"/>
          <w:kern w:val="0"/>
          <w:sz w:val="24"/>
          <w:szCs w:val="24"/>
        </w:rPr>
        <w:t>。</w:t>
      </w:r>
    </w:p>
    <w:p w14:paraId="432B68EC">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对超出存储企业</w:t>
      </w:r>
      <w:r>
        <w:rPr>
          <w:rFonts w:hint="eastAsia" w:ascii="宋体" w:hAnsi="宋体" w:eastAsia="宋体" w:cs="宋体"/>
          <w:kern w:val="0"/>
          <w:sz w:val="24"/>
          <w:szCs w:val="24"/>
          <w:lang w:eastAsia="zh-CN"/>
        </w:rPr>
        <w:t>实际</w:t>
      </w:r>
      <w:r>
        <w:rPr>
          <w:rFonts w:hint="eastAsia" w:ascii="宋体" w:hAnsi="宋体" w:eastAsia="宋体" w:cs="宋体"/>
          <w:kern w:val="0"/>
          <w:sz w:val="24"/>
          <w:szCs w:val="24"/>
        </w:rPr>
        <w:t>缴存</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工资保证金数额的，银行不承担任何支付义务。</w:t>
      </w:r>
    </w:p>
    <w:p w14:paraId="155D361E">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六</w:t>
      </w:r>
      <w:r>
        <w:rPr>
          <w:rFonts w:hint="eastAsia" w:ascii="宋体" w:hAnsi="宋体" w:eastAsia="宋体" w:cs="宋体"/>
          <w:color w:val="auto"/>
          <w:kern w:val="0"/>
          <w:sz w:val="24"/>
          <w:szCs w:val="24"/>
        </w:rPr>
        <w:t>、工资保证金使用后3个工作日内，银行应将工资保证金使用的有关情况通知存储企业</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和人力资源社会保障部门。</w:t>
      </w:r>
    </w:p>
    <w:p w14:paraId="274CE06C">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七</w:t>
      </w:r>
      <w:r>
        <w:rPr>
          <w:rFonts w:hint="eastAsia" w:ascii="宋体" w:hAnsi="宋体" w:eastAsia="宋体" w:cs="宋体"/>
          <w:color w:val="auto"/>
          <w:kern w:val="0"/>
          <w:sz w:val="24"/>
          <w:szCs w:val="24"/>
        </w:rPr>
        <w:t>、银行应每季度出具工资保证金存款对账单一式</w:t>
      </w:r>
      <w:r>
        <w:rPr>
          <w:rFonts w:hint="eastAsia" w:ascii="宋体" w:hAnsi="宋体" w:eastAsia="宋体" w:cs="宋体"/>
          <w:color w:val="auto"/>
          <w:kern w:val="0"/>
          <w:sz w:val="24"/>
          <w:szCs w:val="24"/>
          <w:lang w:eastAsia="zh-CN"/>
        </w:rPr>
        <w:t>三</w:t>
      </w:r>
      <w:r>
        <w:rPr>
          <w:rFonts w:hint="eastAsia" w:ascii="宋体" w:hAnsi="宋体" w:eastAsia="宋体" w:cs="宋体"/>
          <w:color w:val="auto"/>
          <w:kern w:val="0"/>
          <w:sz w:val="24"/>
          <w:szCs w:val="24"/>
        </w:rPr>
        <w:t>份，分别发送给存储企业</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w:t>
      </w:r>
    </w:p>
    <w:p w14:paraId="6B6BDB90">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八</w:t>
      </w:r>
      <w:r>
        <w:rPr>
          <w:rFonts w:hint="eastAsia" w:ascii="宋体" w:hAnsi="宋体" w:eastAsia="宋体" w:cs="宋体"/>
          <w:color w:val="auto"/>
          <w:kern w:val="0"/>
          <w:sz w:val="24"/>
          <w:szCs w:val="24"/>
        </w:rPr>
        <w:t>、本协议一式两份，</w:t>
      </w:r>
      <w:r>
        <w:rPr>
          <w:rFonts w:hint="eastAsia" w:ascii="宋体" w:hAnsi="宋体" w:eastAsia="宋体" w:cs="宋体"/>
          <w:color w:val="auto"/>
          <w:kern w:val="0"/>
          <w:sz w:val="24"/>
          <w:szCs w:val="24"/>
          <w:lang w:eastAsia="zh-CN"/>
        </w:rPr>
        <w:t>存储</w:t>
      </w:r>
      <w:r>
        <w:rPr>
          <w:rFonts w:hint="eastAsia" w:ascii="宋体" w:hAnsi="宋体" w:eastAsia="宋体" w:cs="宋体"/>
          <w:color w:val="auto"/>
          <w:kern w:val="0"/>
          <w:sz w:val="24"/>
          <w:szCs w:val="24"/>
        </w:rPr>
        <w:t>企业和银行各存一份，复印件送</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人力资源社会保障部门备案。</w:t>
      </w:r>
    </w:p>
    <w:p w14:paraId="1A2E8971">
      <w:pPr>
        <w:tabs>
          <w:tab w:val="left" w:pos="5970"/>
        </w:tabs>
        <w:spacing w:line="560" w:lineRule="exact"/>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附注一：工程项目基本信息（项目名称、项目所在地、施工合同期限、施工合同造价、存储比例等）</w:t>
      </w:r>
    </w:p>
    <w:p w14:paraId="3670816B">
      <w:pPr>
        <w:tabs>
          <w:tab w:val="left" w:pos="5970"/>
        </w:tabs>
        <w:spacing w:line="560" w:lineRule="exact"/>
        <w:ind w:firstLine="480" w:firstLineChars="200"/>
        <w:rPr>
          <w:rFonts w:hint="eastAsia" w:ascii="宋体" w:hAnsi="宋体" w:eastAsia="宋体" w:cs="宋体"/>
          <w:kern w:val="0"/>
          <w:sz w:val="24"/>
          <w:szCs w:val="24"/>
        </w:rPr>
      </w:pPr>
    </w:p>
    <w:p w14:paraId="23CC704E">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二</w:t>
      </w:r>
      <w:r>
        <w:rPr>
          <w:rFonts w:hint="eastAsia" w:ascii="宋体" w:hAnsi="宋体" w:eastAsia="宋体" w:cs="宋体"/>
          <w:kern w:val="0"/>
          <w:sz w:val="24"/>
          <w:szCs w:val="24"/>
        </w:rPr>
        <w:t>：存款金额</w:t>
      </w:r>
    </w:p>
    <w:p w14:paraId="420A8F23">
      <w:pPr>
        <w:tabs>
          <w:tab w:val="left" w:pos="5970"/>
        </w:tabs>
        <w:spacing w:line="560" w:lineRule="exact"/>
        <w:ind w:firstLine="480" w:firstLineChars="200"/>
        <w:rPr>
          <w:rFonts w:hint="eastAsia" w:ascii="宋体" w:hAnsi="宋体" w:eastAsia="宋体" w:cs="宋体"/>
          <w:kern w:val="0"/>
          <w:sz w:val="24"/>
          <w:szCs w:val="24"/>
        </w:rPr>
      </w:pPr>
    </w:p>
    <w:p w14:paraId="0B61D30A">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存款金额：　　佰　拾　万　千　佰　拾　元　角　分</w:t>
      </w:r>
    </w:p>
    <w:p w14:paraId="5CDB8820">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小写：</w:t>
      </w:r>
    </w:p>
    <w:p w14:paraId="169AAF7A">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三</w:t>
      </w:r>
      <w:r>
        <w:rPr>
          <w:rFonts w:hint="eastAsia" w:ascii="宋体" w:hAnsi="宋体" w:eastAsia="宋体" w:cs="宋体"/>
          <w:kern w:val="0"/>
          <w:sz w:val="24"/>
          <w:szCs w:val="24"/>
        </w:rPr>
        <w:t>：人力资源社会保障部门、存储企业和开户银行基本信息</w:t>
      </w:r>
    </w:p>
    <w:p w14:paraId="3C48E35A">
      <w:pPr>
        <w:tabs>
          <w:tab w:val="left" w:pos="5970"/>
        </w:tabs>
        <w:spacing w:line="560" w:lineRule="exact"/>
        <w:rPr>
          <w:rFonts w:hint="eastAsia" w:ascii="宋体" w:hAnsi="宋体" w:eastAsia="宋体" w:cs="宋体"/>
          <w:color w:val="FF0000"/>
          <w:kern w:val="0"/>
          <w:sz w:val="24"/>
          <w:szCs w:val="24"/>
        </w:rPr>
      </w:pPr>
    </w:p>
    <w:p w14:paraId="74B991D9">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人力资源社会保障部门：</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w:t>
      </w:r>
    </w:p>
    <w:p w14:paraId="18B5EB99">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通信地址及邮编：</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通信地址及邮编：</w:t>
      </w:r>
    </w:p>
    <w:p w14:paraId="34CA3D26">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联系人：</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联系人：</w:t>
      </w:r>
    </w:p>
    <w:p w14:paraId="2705C45B">
      <w:pPr>
        <w:tabs>
          <w:tab w:val="left" w:pos="5970"/>
        </w:tabs>
        <w:spacing w:line="560" w:lineRule="exact"/>
        <w:ind w:firstLine="480" w:firstLineChars="200"/>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电话：</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电话：</w:t>
      </w:r>
    </w:p>
    <w:p w14:paraId="73C3BBD9">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传真：</w:t>
      </w:r>
    </w:p>
    <w:p w14:paraId="4049C727">
      <w:pPr>
        <w:pStyle w:val="16"/>
        <w:rPr>
          <w:rFonts w:hint="eastAsia" w:ascii="宋体" w:hAnsi="宋体" w:eastAsia="宋体" w:cs="宋体"/>
          <w:color w:val="auto"/>
          <w:kern w:val="0"/>
          <w:sz w:val="24"/>
          <w:szCs w:val="24"/>
        </w:rPr>
      </w:pPr>
    </w:p>
    <w:p w14:paraId="5D64877F">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存储企业：</w:t>
      </w:r>
    </w:p>
    <w:p w14:paraId="7D8F5E3C">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p w14:paraId="72843542">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531D2591">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5D25A1E1">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595111B1">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195040AF">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1D4205B7">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777738C6">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0F33D549">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0B793E3D">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04B202BC">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存储企业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开户银行</w:t>
      </w:r>
    </w:p>
    <w:p w14:paraId="23265CE7">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（盖章）　　　　　　　　　　（盖章）</w:t>
      </w:r>
    </w:p>
    <w:p w14:paraId="5871D595">
      <w:pPr>
        <w:tabs>
          <w:tab w:val="left" w:pos="5970"/>
        </w:tabs>
        <w:spacing w:line="560" w:lineRule="exact"/>
        <w:rPr>
          <w:rFonts w:hint="eastAsia" w:ascii="宋体" w:hAnsi="宋体" w:eastAsia="宋体" w:cs="宋体"/>
          <w:kern w:val="0"/>
          <w:sz w:val="24"/>
          <w:szCs w:val="24"/>
        </w:rPr>
      </w:pPr>
    </w:p>
    <w:p w14:paraId="0B1EBEC3">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法定代表人或授权代表人　　　法定代表人或授权代表人</w:t>
      </w:r>
    </w:p>
    <w:p w14:paraId="2F42F7E7">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　　　　（签字）　　　　　　　　（签字）</w:t>
      </w:r>
    </w:p>
    <w:p w14:paraId="15054CA1">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签字时间：　　　　 　　　　　签字时间：</w:t>
      </w:r>
    </w:p>
    <w:p w14:paraId="459B950D">
      <w:pPr>
        <w:rPr>
          <w:rFonts w:hint="eastAsia" w:ascii="宋体" w:hAnsi="宋体" w:eastAsia="宋体" w:cs="宋体"/>
          <w:sz w:val="24"/>
          <w:szCs w:val="24"/>
        </w:rPr>
      </w:pPr>
    </w:p>
    <w:p w14:paraId="6C4B6135">
      <w:pPr>
        <w:rPr>
          <w:rFonts w:hint="eastAsia" w:ascii="宋体" w:hAnsi="宋体" w:eastAsia="宋体" w:cs="宋体"/>
          <w:sz w:val="24"/>
          <w:szCs w:val="24"/>
        </w:rPr>
      </w:pPr>
    </w:p>
    <w:p w14:paraId="59CE145C">
      <w:pPr>
        <w:rPr>
          <w:rFonts w:hint="eastAsia" w:ascii="宋体" w:hAnsi="宋体" w:eastAsia="宋体" w:cs="宋体"/>
          <w:b/>
          <w:bCs w:val="0"/>
          <w:sz w:val="24"/>
          <w:szCs w:val="24"/>
          <w:lang w:eastAsia="zh-CN"/>
        </w:rPr>
      </w:pPr>
      <w:r>
        <w:rPr>
          <w:rFonts w:hint="eastAsia" w:ascii="宋体" w:hAnsi="宋体" w:eastAsia="宋体" w:cs="宋体"/>
          <w:b w:val="0"/>
          <w:bCs w:val="0"/>
          <w:sz w:val="24"/>
          <w:szCs w:val="24"/>
          <w:lang w:eastAsia="zh-CN"/>
        </w:rPr>
        <w:t>注：样本仅供参考，各地可根据</w:t>
      </w:r>
      <w:r>
        <w:rPr>
          <w:rFonts w:hint="eastAsia" w:ascii="宋体" w:hAnsi="宋体" w:eastAsia="宋体" w:cs="宋体"/>
          <w:b w:val="0"/>
          <w:bCs w:val="0"/>
          <w:sz w:val="24"/>
          <w:szCs w:val="24"/>
          <w:lang w:val="en-US" w:eastAsia="zh-CN"/>
        </w:rPr>
        <w:t>人社部发【2021】65号规定</w:t>
      </w:r>
      <w:r>
        <w:rPr>
          <w:rFonts w:hint="eastAsia" w:ascii="宋体" w:hAnsi="宋体" w:eastAsia="宋体" w:cs="宋体"/>
          <w:b w:val="0"/>
          <w:bCs w:val="0"/>
          <w:sz w:val="24"/>
          <w:szCs w:val="24"/>
          <w:lang w:eastAsia="zh-CN"/>
        </w:rPr>
        <w:t>并结合银行监管和业务管理要求修订使用</w:t>
      </w:r>
    </w:p>
    <w:p w14:paraId="1603DAE8">
      <w:pPr>
        <w:spacing w:line="560" w:lineRule="exact"/>
        <w:jc w:val="center"/>
        <w:rPr>
          <w:rFonts w:hint="eastAsia" w:ascii="宋体" w:hAnsi="宋体" w:eastAsia="宋体" w:cs="宋体"/>
          <w:b/>
          <w:bCs w:val="0"/>
          <w:sz w:val="21"/>
          <w:szCs w:val="21"/>
          <w:lang w:eastAsia="zh-CN"/>
        </w:rPr>
      </w:pPr>
    </w:p>
    <w:p w14:paraId="4DC06D59">
      <w:pPr>
        <w:spacing w:line="560" w:lineRule="exact"/>
        <w:jc w:val="center"/>
        <w:rPr>
          <w:rFonts w:hint="eastAsia" w:ascii="宋体" w:hAnsi="宋体" w:eastAsia="宋体" w:cs="宋体"/>
          <w:b/>
          <w:bCs w:val="0"/>
          <w:sz w:val="21"/>
          <w:szCs w:val="21"/>
          <w:lang w:eastAsia="zh-CN"/>
        </w:rPr>
      </w:pPr>
    </w:p>
    <w:p w14:paraId="011BCDEE">
      <w:pPr>
        <w:spacing w:line="560" w:lineRule="exact"/>
        <w:jc w:val="center"/>
        <w:rPr>
          <w:rFonts w:hint="eastAsia" w:ascii="宋体" w:hAnsi="宋体" w:eastAsia="宋体" w:cs="宋体"/>
          <w:b/>
          <w:bCs w:val="0"/>
          <w:sz w:val="24"/>
          <w:szCs w:val="24"/>
          <w:lang w:val="en-US"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4"/>
          <w:szCs w:val="24"/>
          <w:lang w:eastAsia="zh-CN"/>
        </w:rPr>
        <w:t>农民工工资保证金银行保函（样本）</w:t>
      </w:r>
    </w:p>
    <w:p w14:paraId="1A46BC44">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编    号：</w:t>
      </w:r>
    </w:p>
    <w:p w14:paraId="5E09134A">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开立日期：</w:t>
      </w:r>
    </w:p>
    <w:p w14:paraId="53FE8E86">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__________________厅（局）：</w:t>
      </w:r>
    </w:p>
    <w:p w14:paraId="408ECA8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__________________企业（以下简称存储企业，统一社会信用代码：_____________________）需依法存储____________________（金额大写：__________）的农民工工资保证金。应存储企业申请，我行（担保银行名称、地址）兹开立以贵厅（局）为受益人，金额不超过____________________（金额大写:____________________）的不可撤销</w:t>
      </w:r>
      <w:r>
        <w:rPr>
          <w:rFonts w:hint="eastAsia" w:ascii="宋体" w:hAnsi="宋体" w:eastAsia="宋体" w:cs="宋体"/>
          <w:kern w:val="0"/>
          <w:sz w:val="24"/>
          <w:szCs w:val="24"/>
          <w:lang w:eastAsia="zh-CN"/>
        </w:rPr>
        <w:t>见索即付</w:t>
      </w:r>
      <w:r>
        <w:rPr>
          <w:rFonts w:hint="eastAsia" w:ascii="宋体" w:hAnsi="宋体" w:eastAsia="宋体" w:cs="宋体"/>
          <w:kern w:val="0"/>
          <w:sz w:val="24"/>
          <w:szCs w:val="24"/>
        </w:rPr>
        <w:t>保函，保证存储企业支付所承包工程</w:t>
      </w:r>
      <w:r>
        <w:rPr>
          <w:rFonts w:hint="eastAsia" w:ascii="宋体" w:hAnsi="宋体" w:eastAsia="宋体" w:cs="宋体"/>
          <w:kern w:val="0"/>
          <w:sz w:val="24"/>
          <w:szCs w:val="24"/>
          <w:lang w:eastAsia="zh-CN"/>
        </w:rPr>
        <w:t>项目</w:t>
      </w:r>
      <w:r>
        <w:rPr>
          <w:rFonts w:hint="eastAsia" w:ascii="宋体" w:hAnsi="宋体" w:eastAsia="宋体" w:cs="宋体"/>
          <w:kern w:val="0"/>
          <w:sz w:val="24"/>
          <w:szCs w:val="24"/>
        </w:rPr>
        <w:t>____________________发生的拖欠农民工工资款项。</w:t>
      </w:r>
    </w:p>
    <w:p w14:paraId="58C3E25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我行保证在收到贵厅（局）出具的《农民工工资保证金支付通知书》及本保函正本原件5个工作日内，在上述担保金额范围内，根据《农民工工资保证金支付通知书》</w:t>
      </w:r>
      <w:r>
        <w:rPr>
          <w:rFonts w:hint="eastAsia" w:ascii="宋体" w:hAnsi="宋体" w:eastAsia="宋体" w:cs="宋体"/>
          <w:kern w:val="0"/>
          <w:sz w:val="24"/>
          <w:szCs w:val="24"/>
          <w:lang w:eastAsia="zh-CN"/>
        </w:rPr>
        <w:t>向贵</w:t>
      </w:r>
      <w:r>
        <w:rPr>
          <w:rFonts w:hint="eastAsia" w:ascii="宋体" w:hAnsi="宋体" w:eastAsia="宋体" w:cs="宋体"/>
          <w:kern w:val="0"/>
          <w:sz w:val="24"/>
          <w:szCs w:val="24"/>
        </w:rPr>
        <w:t>厅（局）</w:t>
      </w:r>
      <w:r>
        <w:rPr>
          <w:rFonts w:hint="eastAsia" w:ascii="宋体" w:hAnsi="宋体" w:eastAsia="宋体" w:cs="宋体"/>
          <w:kern w:val="0"/>
          <w:sz w:val="24"/>
          <w:szCs w:val="24"/>
          <w:lang w:eastAsia="zh-CN"/>
        </w:rPr>
        <w:t>承担担保责任</w:t>
      </w:r>
      <w:r>
        <w:rPr>
          <w:rFonts w:hint="eastAsia" w:ascii="宋体" w:hAnsi="宋体" w:eastAsia="宋体" w:cs="宋体"/>
          <w:kern w:val="0"/>
          <w:sz w:val="24"/>
          <w:szCs w:val="24"/>
        </w:rPr>
        <w:t>。</w:t>
      </w:r>
    </w:p>
    <w:p w14:paraId="3169F1CF">
      <w:pPr>
        <w:keepNext w:val="0"/>
        <w:keepLines w:val="0"/>
        <w:pageBreakBefore w:val="0"/>
        <w:widowControl w:val="0"/>
        <w:kinsoku/>
        <w:wordWrap/>
        <w:overflowPunct/>
        <w:topLinePunct w:val="0"/>
        <w:autoSpaceDE/>
        <w:autoSpaceDN/>
        <w:bidi w:val="0"/>
        <w:adjustRightInd/>
        <w:snapToGrid/>
        <w:spacing w:line="600" w:lineRule="exact"/>
        <w:ind w:left="2" w:firstLine="477" w:firstLineChars="199"/>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本保函有效期自___________年__________月_________日起至___________年___________月___________日止。</w:t>
      </w:r>
      <w:r>
        <w:rPr>
          <w:rFonts w:hint="eastAsia" w:ascii="宋体" w:hAnsi="宋体" w:eastAsia="宋体" w:cs="宋体"/>
          <w:kern w:val="0"/>
          <w:sz w:val="24"/>
          <w:szCs w:val="24"/>
          <w:lang w:val="en-US" w:eastAsia="zh-CN"/>
        </w:rPr>
        <w:t>本保函超过有效期、担保义务履行完毕或开立新保函，本保函即行失效，无论本保函是否退回我行注销。</w:t>
      </w:r>
    </w:p>
    <w:p w14:paraId="19FCC1E1">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开户银行（盖章）</w:t>
      </w:r>
    </w:p>
    <w:p w14:paraId="1AF6A36C">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5560DE4B">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签字时间：</w:t>
      </w:r>
    </w:p>
    <w:p w14:paraId="7230D770">
      <w:pPr>
        <w:rPr>
          <w:rFonts w:hint="eastAsia" w:ascii="宋体" w:hAnsi="宋体" w:eastAsia="宋体" w:cs="宋体"/>
          <w:b w:val="0"/>
          <w:bCs w:val="0"/>
          <w:sz w:val="24"/>
          <w:szCs w:val="24"/>
          <w:lang w:eastAsia="zh-CN"/>
        </w:rPr>
      </w:pPr>
    </w:p>
    <w:p w14:paraId="64226CF7">
      <w:pPr>
        <w:rPr>
          <w:rFonts w:hint="eastAsia" w:ascii="宋体" w:hAnsi="宋体" w:eastAsia="宋体" w:cs="宋体"/>
          <w:kern w:val="0"/>
          <w:sz w:val="21"/>
          <w:szCs w:val="21"/>
        </w:rPr>
      </w:pPr>
      <w:r>
        <w:rPr>
          <w:rFonts w:hint="eastAsia" w:ascii="宋体" w:hAnsi="宋体" w:eastAsia="宋体" w:cs="宋体"/>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eastAsia" w:ascii="宋体" w:hAnsi="宋体" w:eastAsia="宋体" w:cs="宋体"/>
          <w:b w:val="0"/>
          <w:bCs w:val="0"/>
          <w:sz w:val="21"/>
          <w:szCs w:val="21"/>
          <w:lang w:eastAsia="zh-CN"/>
        </w:rPr>
        <w:t>并结合银行监管和业务管理要求修订使用</w:t>
      </w:r>
    </w:p>
    <w:p w14:paraId="5386F4B3">
      <w:pPr>
        <w:jc w:val="center"/>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1"/>
          <w:szCs w:val="21"/>
          <w:lang w:eastAsia="zh-CN"/>
        </w:rPr>
        <w:t>农民工工资保证金支付通知书（样本）</w:t>
      </w:r>
    </w:p>
    <w:tbl>
      <w:tblPr>
        <w:tblStyle w:val="22"/>
        <w:tblpPr w:leftFromText="180" w:rightFromText="180" w:vertAnchor="text" w:horzAnchor="page" w:tblpX="1884" w:tblpY="627"/>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2032"/>
        <w:gridCol w:w="1081"/>
        <w:gridCol w:w="1250"/>
        <w:gridCol w:w="2278"/>
      </w:tblGrid>
      <w:tr w14:paraId="59A56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571F8913">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工资保证金</w:t>
            </w:r>
          </w:p>
          <w:p w14:paraId="0CA4E9C3">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存储企业名称</w:t>
            </w:r>
          </w:p>
        </w:tc>
        <w:tc>
          <w:tcPr>
            <w:tcW w:w="2032" w:type="dxa"/>
            <w:noWrap w:val="0"/>
            <w:vAlign w:val="top"/>
          </w:tcPr>
          <w:p w14:paraId="467B2FE4">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46C85091">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统一社会信用代码</w:t>
            </w:r>
          </w:p>
        </w:tc>
        <w:tc>
          <w:tcPr>
            <w:tcW w:w="2278" w:type="dxa"/>
            <w:noWrap w:val="0"/>
            <w:vAlign w:val="top"/>
          </w:tcPr>
          <w:p w14:paraId="42C05A94">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6F5DD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258" w:type="dxa"/>
            <w:noWrap w:val="0"/>
            <w:vAlign w:val="top"/>
          </w:tcPr>
          <w:p w14:paraId="0F7D3EF5">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通信地址及邮编</w:t>
            </w:r>
          </w:p>
        </w:tc>
        <w:tc>
          <w:tcPr>
            <w:tcW w:w="6641" w:type="dxa"/>
            <w:gridSpan w:val="4"/>
            <w:noWrap w:val="0"/>
            <w:vAlign w:val="top"/>
          </w:tcPr>
          <w:p w14:paraId="2F4AEF01">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p>
        </w:tc>
      </w:tr>
      <w:tr w14:paraId="4E144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top"/>
          </w:tcPr>
          <w:p w14:paraId="1BA2B37F">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法定代表人</w:t>
            </w:r>
          </w:p>
        </w:tc>
        <w:tc>
          <w:tcPr>
            <w:tcW w:w="2032" w:type="dxa"/>
            <w:noWrap w:val="0"/>
            <w:vAlign w:val="top"/>
          </w:tcPr>
          <w:p w14:paraId="524BA3AF">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3F77FF0B">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2E6A1F9D">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5E9F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2BA5D3CA">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lang w:eastAsia="zh-CN"/>
              </w:rPr>
              <w:t>工资保证</w:t>
            </w:r>
            <w:r>
              <w:rPr>
                <w:rFonts w:hint="eastAsia" w:ascii="宋体" w:hAnsi="宋体" w:eastAsia="宋体" w:cs="宋体"/>
                <w:b/>
                <w:bCs/>
                <w:sz w:val="21"/>
                <w:szCs w:val="21"/>
              </w:rPr>
              <w:t>金</w:t>
            </w:r>
          </w:p>
          <w:p w14:paraId="408C4CD6">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开户银行</w:t>
            </w:r>
          </w:p>
        </w:tc>
        <w:tc>
          <w:tcPr>
            <w:tcW w:w="2032" w:type="dxa"/>
            <w:noWrap w:val="0"/>
            <w:vAlign w:val="top"/>
          </w:tcPr>
          <w:p w14:paraId="6048B32E">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196E44DA">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753BAF2F">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47EC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center"/>
          </w:tcPr>
          <w:p w14:paraId="7AC48CDE">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支付对象姓名/名称</w:t>
            </w:r>
          </w:p>
        </w:tc>
        <w:tc>
          <w:tcPr>
            <w:tcW w:w="2032" w:type="dxa"/>
            <w:noWrap w:val="0"/>
            <w:vAlign w:val="top"/>
          </w:tcPr>
          <w:p w14:paraId="1C9098EC">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595EEFEE">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身份证号</w:t>
            </w:r>
          </w:p>
        </w:tc>
        <w:tc>
          <w:tcPr>
            <w:tcW w:w="2278" w:type="dxa"/>
            <w:noWrap w:val="0"/>
            <w:vAlign w:val="top"/>
          </w:tcPr>
          <w:p w14:paraId="1748A426">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28F69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trPr>
        <w:tc>
          <w:tcPr>
            <w:tcW w:w="2258" w:type="dxa"/>
            <w:noWrap w:val="0"/>
            <w:vAlign w:val="center"/>
          </w:tcPr>
          <w:p w14:paraId="5FAAD4AC">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取款（付款）原因</w:t>
            </w:r>
          </w:p>
          <w:p w14:paraId="563E40E8">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p>
        </w:tc>
        <w:tc>
          <w:tcPr>
            <w:tcW w:w="6641" w:type="dxa"/>
            <w:gridSpan w:val="4"/>
            <w:noWrap w:val="0"/>
            <w:vAlign w:val="top"/>
          </w:tcPr>
          <w:p w14:paraId="0FC428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工资保证金存储企业所承包工程发生拖欠农民工工资，经人力资源社会保障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部门依法作出行政处理决定，责令限期清偿或先行清偿，</w:t>
            </w:r>
            <w:r>
              <w:rPr>
                <w:rFonts w:hint="eastAsia" w:ascii="宋体" w:hAnsi="宋体" w:eastAsia="宋体" w:cs="宋体"/>
                <w:sz w:val="21"/>
                <w:szCs w:val="21"/>
                <w:lang w:eastAsia="zh-CN"/>
              </w:rPr>
              <w:t>该企业</w:t>
            </w:r>
            <w:r>
              <w:rPr>
                <w:rFonts w:hint="eastAsia" w:ascii="宋体" w:hAnsi="宋体" w:eastAsia="宋体" w:cs="宋体"/>
                <w:sz w:val="21"/>
                <w:szCs w:val="21"/>
              </w:rPr>
              <w:t>到期拒不履行。依据《保障农民工工资支付条例》和《工程建设领域农民工工资保证金规定》，人力资源社会保障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部门依法决定使用农民工工资保证金。</w:t>
            </w:r>
          </w:p>
        </w:tc>
      </w:tr>
      <w:tr w14:paraId="37D75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258" w:type="dxa"/>
            <w:noWrap w:val="0"/>
            <w:vAlign w:val="center"/>
          </w:tcPr>
          <w:p w14:paraId="627D3BBC">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取款（付款）金额</w:t>
            </w:r>
          </w:p>
        </w:tc>
        <w:tc>
          <w:tcPr>
            <w:tcW w:w="3113" w:type="dxa"/>
            <w:gridSpan w:val="2"/>
            <w:noWrap w:val="0"/>
            <w:vAlign w:val="center"/>
          </w:tcPr>
          <w:p w14:paraId="2E51AA84">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大写：</w:t>
            </w:r>
          </w:p>
        </w:tc>
        <w:tc>
          <w:tcPr>
            <w:tcW w:w="3528" w:type="dxa"/>
            <w:gridSpan w:val="2"/>
            <w:noWrap w:val="0"/>
            <w:vAlign w:val="center"/>
          </w:tcPr>
          <w:p w14:paraId="22FB8AC4">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小写：</w:t>
            </w:r>
          </w:p>
        </w:tc>
      </w:tr>
      <w:tr w14:paraId="47FF0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258" w:type="dxa"/>
            <w:noWrap w:val="0"/>
            <w:vAlign w:val="center"/>
          </w:tcPr>
          <w:p w14:paraId="63D62C56">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行政执法文书</w:t>
            </w:r>
          </w:p>
        </w:tc>
        <w:tc>
          <w:tcPr>
            <w:tcW w:w="6641" w:type="dxa"/>
            <w:gridSpan w:val="4"/>
            <w:noWrap w:val="0"/>
            <w:vAlign w:val="center"/>
          </w:tcPr>
          <w:p w14:paraId="5E6BD9EF">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人力资源社会保障部门依法作出的行政处理决定书（附后）</w:t>
            </w:r>
          </w:p>
        </w:tc>
      </w:tr>
      <w:tr w14:paraId="4F12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2258" w:type="dxa"/>
            <w:noWrap w:val="0"/>
            <w:vAlign w:val="center"/>
          </w:tcPr>
          <w:p w14:paraId="666D83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建设单位</w:t>
            </w:r>
            <w:r>
              <w:rPr>
                <w:rFonts w:hint="eastAsia" w:ascii="宋体" w:hAnsi="宋体" w:eastAsia="宋体" w:cs="宋体"/>
                <w:b/>
                <w:bCs/>
                <w:color w:val="auto"/>
                <w:sz w:val="21"/>
                <w:szCs w:val="21"/>
              </w:rPr>
              <w:t>意见</w:t>
            </w:r>
          </w:p>
        </w:tc>
        <w:tc>
          <w:tcPr>
            <w:tcW w:w="6641" w:type="dxa"/>
            <w:gridSpan w:val="4"/>
            <w:noWrap w:val="0"/>
            <w:vAlign w:val="top"/>
          </w:tcPr>
          <w:p w14:paraId="7BAC80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请</w:t>
            </w:r>
            <w:r>
              <w:rPr>
                <w:rFonts w:hint="eastAsia" w:ascii="宋体" w:hAnsi="宋体" w:eastAsia="宋体" w:cs="宋体"/>
                <w:color w:val="auto"/>
                <w:sz w:val="21"/>
                <w:szCs w:val="21"/>
                <w:lang w:eastAsia="zh-CN"/>
              </w:rPr>
              <w:t>你</w:t>
            </w:r>
            <w:r>
              <w:rPr>
                <w:rFonts w:hint="eastAsia" w:ascii="宋体" w:hAnsi="宋体" w:eastAsia="宋体" w:cs="宋体"/>
                <w:color w:val="auto"/>
                <w:sz w:val="21"/>
                <w:szCs w:val="21"/>
              </w:rPr>
              <w:t>行在5个工作日内从农民工工资保证金账户中（或依据你行开具的银行保函）将上述款项支付给</w:t>
            </w:r>
            <w:r>
              <w:rPr>
                <w:rFonts w:hint="eastAsia" w:ascii="宋体" w:hAnsi="宋体" w:eastAsia="宋体" w:cs="宋体"/>
                <w:color w:val="auto"/>
                <w:sz w:val="21"/>
                <w:szCs w:val="21"/>
                <w:lang w:eastAsia="zh-CN"/>
              </w:rPr>
              <w:t>本通知书列明的支付对象</w:t>
            </w:r>
            <w:r>
              <w:rPr>
                <w:rFonts w:hint="eastAsia" w:ascii="宋体" w:hAnsi="宋体" w:eastAsia="宋体" w:cs="宋体"/>
                <w:color w:val="auto"/>
                <w:sz w:val="21"/>
                <w:szCs w:val="21"/>
              </w:rPr>
              <w:t>。</w:t>
            </w:r>
          </w:p>
          <w:p w14:paraId="6B0833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（支付对象及收款行账号和开户行附后）</w:t>
            </w:r>
          </w:p>
          <w:p w14:paraId="3B5C50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经办人签字：               单位盖章：</w:t>
            </w:r>
          </w:p>
          <w:p w14:paraId="6842B5F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联系电话：                 负责人签字：</w:t>
            </w:r>
          </w:p>
        </w:tc>
      </w:tr>
      <w:tr w14:paraId="61B7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2258" w:type="dxa"/>
            <w:noWrap w:val="0"/>
            <w:vAlign w:val="center"/>
          </w:tcPr>
          <w:p w14:paraId="4D2026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人力资源社会保障部门意见</w:t>
            </w:r>
          </w:p>
        </w:tc>
        <w:tc>
          <w:tcPr>
            <w:tcW w:w="6641" w:type="dxa"/>
            <w:gridSpan w:val="4"/>
            <w:noWrap w:val="0"/>
            <w:vAlign w:val="top"/>
          </w:tcPr>
          <w:p w14:paraId="74E125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请</w:t>
            </w:r>
            <w:r>
              <w:rPr>
                <w:rFonts w:hint="eastAsia" w:ascii="宋体" w:hAnsi="宋体" w:eastAsia="宋体" w:cs="宋体"/>
                <w:sz w:val="21"/>
                <w:szCs w:val="21"/>
                <w:lang w:eastAsia="zh-CN"/>
              </w:rPr>
              <w:t>你</w:t>
            </w:r>
            <w:r>
              <w:rPr>
                <w:rFonts w:hint="eastAsia" w:ascii="宋体" w:hAnsi="宋体" w:eastAsia="宋体" w:cs="宋体"/>
                <w:sz w:val="21"/>
                <w:szCs w:val="21"/>
              </w:rPr>
              <w:t>行在5个工作日内从农民工工资保证金账户中（或依据你行开具的银行保函）将上述款项支付给</w:t>
            </w:r>
            <w:r>
              <w:rPr>
                <w:rFonts w:hint="eastAsia" w:ascii="宋体" w:hAnsi="宋体" w:eastAsia="宋体" w:cs="宋体"/>
                <w:sz w:val="21"/>
                <w:szCs w:val="21"/>
                <w:lang w:eastAsia="zh-CN"/>
              </w:rPr>
              <w:t>本通知书列明的支付对象</w:t>
            </w:r>
            <w:r>
              <w:rPr>
                <w:rFonts w:hint="eastAsia" w:ascii="宋体" w:hAnsi="宋体" w:eastAsia="宋体" w:cs="宋体"/>
                <w:sz w:val="21"/>
                <w:szCs w:val="21"/>
              </w:rPr>
              <w:t>。</w:t>
            </w:r>
          </w:p>
          <w:p w14:paraId="1948B2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（支付对象及收款行账号和开户行附后）</w:t>
            </w:r>
          </w:p>
          <w:p w14:paraId="2BDE0C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p>
          <w:p w14:paraId="6F2FF0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经办人签字：               单位盖章：</w:t>
            </w:r>
          </w:p>
          <w:p w14:paraId="7E68FB5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联系电话：                 负责人签字：</w:t>
            </w:r>
          </w:p>
        </w:tc>
      </w:tr>
    </w:tbl>
    <w:p w14:paraId="09A0E56B">
      <w:pPr>
        <w:pStyle w:val="14"/>
        <w:jc w:val="both"/>
        <w:rPr>
          <w:rFonts w:hint="default" w:ascii="Times New Roman" w:hAnsi="Times New Roman" w:eastAsia="华文中宋" w:cs="Times New Roman"/>
          <w:b w:val="0"/>
          <w:bCs w:val="0"/>
          <w:sz w:val="21"/>
          <w:szCs w:val="21"/>
          <w:lang w:eastAsia="zh-CN"/>
        </w:rPr>
      </w:pPr>
    </w:p>
    <w:p w14:paraId="53941ED6">
      <w:pPr>
        <w:rPr>
          <w:rFonts w:hint="default"/>
          <w:lang w:eastAsia="zh-CN"/>
        </w:rPr>
      </w:pPr>
    </w:p>
    <w:p w14:paraId="33294FF5">
      <w:pPr>
        <w:rPr>
          <w:rFonts w:hint="default" w:ascii="Times New Roman" w:hAnsi="Times New Roman" w:eastAsia="华文中宋" w:cs="Times New Roman"/>
          <w:b w:val="0"/>
          <w:bCs w:val="0"/>
          <w:sz w:val="21"/>
          <w:szCs w:val="21"/>
          <w:lang w:eastAsia="zh-CN"/>
        </w:rPr>
      </w:pPr>
    </w:p>
    <w:p w14:paraId="78545342">
      <w:pPr>
        <w:ind w:left="840" w:leftChars="300" w:hanging="210" w:hangingChars="100"/>
      </w:pPr>
      <w:r>
        <w:rPr>
          <w:rFonts w:hint="default" w:ascii="Times New Roman" w:hAnsi="Times New Roman" w:eastAsia="华文中宋" w:cs="Times New Roman"/>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default" w:ascii="Times New Roman" w:hAnsi="Times New Roman" w:eastAsia="华文中宋" w:cs="Times New Roman"/>
          <w:b w:val="0"/>
          <w:bCs w:val="0"/>
          <w:sz w:val="21"/>
          <w:szCs w:val="21"/>
          <w:lang w:eastAsia="zh-CN"/>
        </w:rPr>
        <w:t>并结合银行监管和业务管理要求修订使用</w:t>
      </w:r>
    </w:p>
    <w:bookmarkEnd w:id="0"/>
    <w:bookmarkEnd w:id="1"/>
    <w:bookmarkEnd w:id="2"/>
    <w:bookmarkEnd w:id="3"/>
    <w:p w14:paraId="10826A51">
      <w:pPr>
        <w:pStyle w:val="41"/>
        <w:jc w:val="both"/>
        <w:outlineLvl w:val="9"/>
        <w:rPr>
          <w:rFonts w:hint="eastAsia" w:ascii="宋体" w:hAnsi="宋体" w:eastAsia="宋体" w:cs="宋体"/>
          <w:b/>
          <w:color w:val="auto"/>
          <w:sz w:val="36"/>
          <w:szCs w:val="36"/>
          <w:highlight w:val="none"/>
          <w:lang w:val="en-US" w:eastAsia="zh-CN"/>
        </w:rPr>
      </w:pPr>
    </w:p>
    <w:sectPr>
      <w:headerReference r:id="rId8" w:type="first"/>
      <w:footerReference r:id="rId10" w:type="first"/>
      <w:headerReference r:id="rId7" w:type="default"/>
      <w:footerReference r:id="rId9" w:type="default"/>
      <w:pgSz w:w="11906" w:h="16838"/>
      <w:pgMar w:top="1440" w:right="1417" w:bottom="1440" w:left="1417" w:header="720" w:footer="992" w:gutter="0"/>
      <w:pgNumType w:fmt="decimal"/>
      <w:cols w:space="720" w:num="1"/>
      <w:titlePg/>
      <w:rtlGutter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C442E">
    <w:pPr>
      <w:pStyle w:val="13"/>
      <w:jc w:val="center"/>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3E7CE6">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03E7CE6">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3C3AB">
    <w:pPr>
      <w:jc w:val="center"/>
      <w:rPr>
        <w:rFonts w:hint="eastAsia" w:eastAsia="宋体"/>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BAA1B5">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5BBAA1B5">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A473C">
    <w:pPr>
      <w:pStyle w:val="1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1EEBE1E0">
                          <w:pPr>
                            <w:pStyle w:val="13"/>
                          </w:pPr>
                          <w:r>
                            <w:fldChar w:fldCharType="begin"/>
                          </w:r>
                          <w:r>
                            <w:instrText xml:space="preserve"> PAGE  \* MERGEFORMAT </w:instrText>
                          </w:r>
                          <w:r>
                            <w:fldChar w:fldCharType="separate"/>
                          </w:r>
                          <w:r>
                            <w:t>80</w:t>
                          </w:r>
                          <w:r>
                            <w:fldChar w:fldCharType="end"/>
                          </w:r>
                        </w:p>
                      </w:txbxContent>
                    </wps:txbx>
                    <wps:bodyPr vert="horz" wrap="none" lIns="0" tIns="0" rIns="0" bIns="0" anchor="t" anchorCtr="0" upright="0">
                      <a:spAutoFit/>
                    </wps:bodyPr>
                  </wps:wsp>
                </a:graphicData>
              </a:graphic>
            </wp:anchor>
          </w:drawing>
        </mc:Choice>
        <mc:Fallback>
          <w:pict>
            <v:shape id="文本框 11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rUldecB&#10;AADLAwAADgAAAAAAAAABACAAAAAiAQAAZHJzL2Uyb0RvYy54bWxQSwUGAAAAAAYABgBZAQAAewUA&#10;AAAA&#10;">
              <v:fill on="f" focussize="0,0"/>
              <v:stroke on="f" weight="1pt"/>
              <v:imagedata o:title=""/>
              <o:lock v:ext="edit" aspectratio="f"/>
              <v:textbox inset="0mm,0mm,0mm,0mm" style="mso-fit-shape-to-text:t;">
                <w:txbxContent>
                  <w:p w14:paraId="1EEBE1E0">
                    <w:pPr>
                      <w:pStyle w:val="13"/>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4AC1B">
    <w:pPr>
      <w:pStyle w:val="1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0FF3B1F5">
                          <w:pPr>
                            <w:pStyle w:val="13"/>
                          </w:pPr>
                          <w:r>
                            <w:fldChar w:fldCharType="begin"/>
                          </w:r>
                          <w:r>
                            <w:instrText xml:space="preserve"> PAGE  \* MERGEFORMAT </w:instrText>
                          </w:r>
                          <w:r>
                            <w:fldChar w:fldCharType="separate"/>
                          </w:r>
                          <w:r>
                            <w:t>79</w:t>
                          </w:r>
                          <w:r>
                            <w:fldChar w:fldCharType="end"/>
                          </w:r>
                        </w:p>
                      </w:txbxContent>
                    </wps:txbx>
                    <wps:bodyPr vert="horz" wrap="none" lIns="0" tIns="0" rIns="0" bIns="0" anchor="t" anchorCtr="0" upright="0">
                      <a:spAutoFit/>
                    </wps:bodyPr>
                  </wps:wsp>
                </a:graphicData>
              </a:graphic>
            </wp:anchor>
          </w:drawing>
        </mc:Choice>
        <mc:Fallback>
          <w:pict>
            <v:shape id="文本框 11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m1Dk5ucB&#10;AADLAwAADgAAAAAAAAABACAAAAAiAQAAZHJzL2Uyb0RvYy54bWxQSwUGAAAAAAYABgBZAQAAewUA&#10;AAAA&#10;">
              <v:fill on="f" focussize="0,0"/>
              <v:stroke on="f" weight="1pt"/>
              <v:imagedata o:title=""/>
              <o:lock v:ext="edit" aspectratio="f"/>
              <v:textbox inset="0mm,0mm,0mm,0mm" style="mso-fit-shape-to-text:t;">
                <w:txbxContent>
                  <w:p w14:paraId="0FF3B1F5">
                    <w:pPr>
                      <w:pStyle w:val="13"/>
                    </w:pPr>
                    <w:r>
                      <w:fldChar w:fldCharType="begin"/>
                    </w:r>
                    <w:r>
                      <w:instrText xml:space="preserve"> PAGE  \* MERGEFORMAT </w:instrText>
                    </w:r>
                    <w:r>
                      <w:fldChar w:fldCharType="separate"/>
                    </w:r>
                    <w:r>
                      <w:t>79</w:t>
                    </w:r>
                    <w:r>
                      <w:fldChar w:fldCharType="end"/>
                    </w:r>
                  </w:p>
                </w:txbxContent>
              </v:textbox>
            </v:shape>
          </w:pict>
        </mc:Fallback>
      </mc:AlternateContent>
    </w:r>
  </w:p>
  <w:p w14:paraId="2BD93669">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6B578">
    <w:pPr>
      <w:pStyle w:val="14"/>
      <w:pBdr>
        <w:bottom w:val="single" w:color="auto" w:sz="4" w:space="1"/>
      </w:pBdr>
      <w:jc w:val="left"/>
    </w:pPr>
    <w:r>
      <w:rPr>
        <w:rFonts w:hint="eastAsia" w:ascii="宋体" w:hAnsi="宋体" w:eastAsia="宋体" w:cs="宋体"/>
        <w:b w:val="0"/>
        <w:kern w:val="0"/>
        <w:sz w:val="21"/>
        <w:szCs w:val="21"/>
        <w:highlight w:val="none"/>
        <w:lang w:val="en-US" w:eastAsia="zh-CN" w:bidi="ar"/>
      </w:rPr>
      <w:t>华春建设工程项目管理有限责任公司</w:t>
    </w:r>
    <w:r>
      <w:rPr>
        <w:rFonts w:hint="eastAsia" w:ascii="宋体" w:hAnsi="宋体" w:cs="宋体"/>
        <w:b w:val="0"/>
        <w:kern w:val="0"/>
        <w:sz w:val="21"/>
        <w:szCs w:val="21"/>
        <w:highlight w:val="none"/>
        <w:lang w:val="en-US" w:eastAsia="zh-CN" w:bidi="ar"/>
      </w:rPr>
      <w:t>招标文件</w:t>
    </w:r>
    <w:r>
      <w:rPr>
        <w:rFonts w:hint="eastAsia"/>
        <w:i/>
        <w:iCs/>
        <w:highlight w:val="none"/>
        <w:lang w:val="en-US" w:eastAsia="zh-CN"/>
      </w:rPr>
      <w:t xml:space="preserve">                                           </w:t>
    </w:r>
    <w:r>
      <w:rPr>
        <w:rFonts w:hint="eastAsia"/>
      </w:rPr>
      <w:drawing>
        <wp:inline distT="0" distB="0" distL="114300" distR="114300">
          <wp:extent cx="332740" cy="294640"/>
          <wp:effectExtent l="0" t="0" r="10160" b="10160"/>
          <wp:docPr id="5" name="图片 2" descr="QQ截图2013071715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QQ截图20130717152624"/>
                  <pic:cNvPicPr>
                    <a:picLocks noChangeAspect="1"/>
                  </pic:cNvPicPr>
                </pic:nvPicPr>
                <pic:blipFill>
                  <a:blip r:embed="rId1"/>
                  <a:stretch>
                    <a:fillRect/>
                  </a:stretch>
                </pic:blipFill>
                <pic:spPr>
                  <a:xfrm>
                    <a:off x="0" y="0"/>
                    <a:ext cx="332740" cy="294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A6FAB">
    <w:pPr>
      <w:pStyle w:val="14"/>
      <w:pBdr>
        <w:bottom w:val="none" w:color="auto" w:sz="0" w:space="0"/>
      </w:pBdr>
      <w:jc w:val="left"/>
      <w:rPr>
        <w:rFonts w:hint="eastAsia"/>
      </w:rPr>
    </w:pPr>
    <w:r>
      <w:rPr>
        <w:rFonts w:hint="eastAsia" w:ascii="宋体" w:hAnsi="宋体" w:eastAsia="宋体" w:cs="宋体"/>
        <w:b w:val="0"/>
        <w:kern w:val="0"/>
        <w:sz w:val="21"/>
        <w:szCs w:val="21"/>
        <w:highlight w:val="none"/>
        <w:lang w:val="en-US" w:eastAsia="zh-CN" w:bidi="a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065CB">
    <w:pPr>
      <w:pStyle w:val="14"/>
      <w:pBdr>
        <w:bottom w:val="none" w:color="auto" w:sz="0" w:space="1"/>
      </w:pBdr>
      <w:jc w:val="left"/>
      <w:rPr>
        <w:rFonts w:hint="eastAsia"/>
        <w:lang w:val="en-US" w:eastAsia="zh-CN"/>
      </w:rPr>
    </w:pPr>
    <w:r>
      <w:rPr>
        <w:rFonts w:hint="eastAsia"/>
        <w:i/>
        <w:iCs/>
        <w:highlight w:val="non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FB767">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1"/>
      <w:numFmt w:val="chineseCounting"/>
      <w:suff w:val="nothing"/>
      <w:lvlText w:val="%1、"/>
      <w:lvlJc w:val="left"/>
      <w:rPr>
        <w:rFonts w:hint="eastAsia"/>
      </w:rPr>
    </w:lvl>
  </w:abstractNum>
  <w:abstractNum w:abstractNumId="1">
    <w:nsid w:val="5AC60394"/>
    <w:multiLevelType w:val="singleLevel"/>
    <w:tmpl w:val="5AC60394"/>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425"/>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hdrShapeDefaults>
    <o:shapelayout v:ext="edit">
      <o:idmap v:ext="edit" data="3,5"/>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WQ1ZjAwZGU1ZjY0MDE2YmU5Mzk5Mzc1NDE1NmUifQ=="/>
  </w:docVars>
  <w:rsids>
    <w:rsidRoot w:val="002D3FE1"/>
    <w:rsid w:val="000022CF"/>
    <w:rsid w:val="000074FC"/>
    <w:rsid w:val="0001282E"/>
    <w:rsid w:val="0001737D"/>
    <w:rsid w:val="000342DB"/>
    <w:rsid w:val="0003609E"/>
    <w:rsid w:val="00036E8A"/>
    <w:rsid w:val="00047FC9"/>
    <w:rsid w:val="0005685C"/>
    <w:rsid w:val="00060C2C"/>
    <w:rsid w:val="000648E0"/>
    <w:rsid w:val="000658BA"/>
    <w:rsid w:val="00067480"/>
    <w:rsid w:val="00075BDA"/>
    <w:rsid w:val="00075F95"/>
    <w:rsid w:val="00081213"/>
    <w:rsid w:val="000833F3"/>
    <w:rsid w:val="00083D2E"/>
    <w:rsid w:val="000A7F08"/>
    <w:rsid w:val="000B2E18"/>
    <w:rsid w:val="000C083E"/>
    <w:rsid w:val="000D422F"/>
    <w:rsid w:val="000D5990"/>
    <w:rsid w:val="000E29CB"/>
    <w:rsid w:val="000E34F5"/>
    <w:rsid w:val="000F07D5"/>
    <w:rsid w:val="000F1C48"/>
    <w:rsid w:val="000F4F6A"/>
    <w:rsid w:val="00103B42"/>
    <w:rsid w:val="00113330"/>
    <w:rsid w:val="001136F8"/>
    <w:rsid w:val="00116B87"/>
    <w:rsid w:val="00133403"/>
    <w:rsid w:val="001442BA"/>
    <w:rsid w:val="00151E68"/>
    <w:rsid w:val="00163A84"/>
    <w:rsid w:val="001672ED"/>
    <w:rsid w:val="00167577"/>
    <w:rsid w:val="00176570"/>
    <w:rsid w:val="00186DCA"/>
    <w:rsid w:val="00190B34"/>
    <w:rsid w:val="00194FE7"/>
    <w:rsid w:val="001965CC"/>
    <w:rsid w:val="001A2FFA"/>
    <w:rsid w:val="001A71C2"/>
    <w:rsid w:val="001B4432"/>
    <w:rsid w:val="001B45B9"/>
    <w:rsid w:val="001B4DA4"/>
    <w:rsid w:val="001C03ED"/>
    <w:rsid w:val="001C2234"/>
    <w:rsid w:val="001C5C3D"/>
    <w:rsid w:val="001C724D"/>
    <w:rsid w:val="001C7A81"/>
    <w:rsid w:val="001D037A"/>
    <w:rsid w:val="001D05B9"/>
    <w:rsid w:val="001E29DD"/>
    <w:rsid w:val="001E3643"/>
    <w:rsid w:val="001F0EAA"/>
    <w:rsid w:val="001F2947"/>
    <w:rsid w:val="0020287A"/>
    <w:rsid w:val="00204065"/>
    <w:rsid w:val="00204CE9"/>
    <w:rsid w:val="0024352F"/>
    <w:rsid w:val="002507BF"/>
    <w:rsid w:val="00256BC2"/>
    <w:rsid w:val="00260A77"/>
    <w:rsid w:val="00271D88"/>
    <w:rsid w:val="00280E53"/>
    <w:rsid w:val="00284FA4"/>
    <w:rsid w:val="00293737"/>
    <w:rsid w:val="002A77C0"/>
    <w:rsid w:val="002B2D01"/>
    <w:rsid w:val="002D2CE5"/>
    <w:rsid w:val="002D3FE1"/>
    <w:rsid w:val="002D4C92"/>
    <w:rsid w:val="002D5D1D"/>
    <w:rsid w:val="002D69B3"/>
    <w:rsid w:val="002D7A84"/>
    <w:rsid w:val="002E05A1"/>
    <w:rsid w:val="002E254C"/>
    <w:rsid w:val="002E4E8A"/>
    <w:rsid w:val="002F02B3"/>
    <w:rsid w:val="002F403F"/>
    <w:rsid w:val="00305727"/>
    <w:rsid w:val="00306694"/>
    <w:rsid w:val="00317A9B"/>
    <w:rsid w:val="0032070C"/>
    <w:rsid w:val="00323542"/>
    <w:rsid w:val="003303B9"/>
    <w:rsid w:val="003434CB"/>
    <w:rsid w:val="00351798"/>
    <w:rsid w:val="00356FEF"/>
    <w:rsid w:val="00357BBC"/>
    <w:rsid w:val="00365806"/>
    <w:rsid w:val="0037598D"/>
    <w:rsid w:val="00381963"/>
    <w:rsid w:val="00382396"/>
    <w:rsid w:val="00383F65"/>
    <w:rsid w:val="00386F85"/>
    <w:rsid w:val="00397F63"/>
    <w:rsid w:val="003A74D8"/>
    <w:rsid w:val="003B12CC"/>
    <w:rsid w:val="003B4190"/>
    <w:rsid w:val="003B6A78"/>
    <w:rsid w:val="003C64A0"/>
    <w:rsid w:val="003D3EF2"/>
    <w:rsid w:val="003D6707"/>
    <w:rsid w:val="003E1A2D"/>
    <w:rsid w:val="003E4846"/>
    <w:rsid w:val="00402D73"/>
    <w:rsid w:val="00403848"/>
    <w:rsid w:val="00403A89"/>
    <w:rsid w:val="00407BD0"/>
    <w:rsid w:val="00411223"/>
    <w:rsid w:val="00413B7E"/>
    <w:rsid w:val="00414729"/>
    <w:rsid w:val="00424FCE"/>
    <w:rsid w:val="00425661"/>
    <w:rsid w:val="00430F45"/>
    <w:rsid w:val="004346B6"/>
    <w:rsid w:val="00462A3C"/>
    <w:rsid w:val="00466EF6"/>
    <w:rsid w:val="004726C7"/>
    <w:rsid w:val="00474EB6"/>
    <w:rsid w:val="0048089A"/>
    <w:rsid w:val="004878CB"/>
    <w:rsid w:val="00490B0F"/>
    <w:rsid w:val="004A2E8E"/>
    <w:rsid w:val="004C4A57"/>
    <w:rsid w:val="004C5243"/>
    <w:rsid w:val="004D2A9C"/>
    <w:rsid w:val="004D49D4"/>
    <w:rsid w:val="004E4AED"/>
    <w:rsid w:val="004E5B02"/>
    <w:rsid w:val="004E6C9E"/>
    <w:rsid w:val="004F0258"/>
    <w:rsid w:val="004F2F1F"/>
    <w:rsid w:val="00500CB2"/>
    <w:rsid w:val="00504AAF"/>
    <w:rsid w:val="00517222"/>
    <w:rsid w:val="00520E20"/>
    <w:rsid w:val="00533816"/>
    <w:rsid w:val="00536B6B"/>
    <w:rsid w:val="00544D64"/>
    <w:rsid w:val="00551ED9"/>
    <w:rsid w:val="005753ED"/>
    <w:rsid w:val="00586E3C"/>
    <w:rsid w:val="0059004E"/>
    <w:rsid w:val="00590739"/>
    <w:rsid w:val="00594136"/>
    <w:rsid w:val="005A7BA4"/>
    <w:rsid w:val="005C40CC"/>
    <w:rsid w:val="005C75A4"/>
    <w:rsid w:val="005D66E4"/>
    <w:rsid w:val="005D79AE"/>
    <w:rsid w:val="005E0DE7"/>
    <w:rsid w:val="005E2D09"/>
    <w:rsid w:val="005E4813"/>
    <w:rsid w:val="00601FC5"/>
    <w:rsid w:val="006022F4"/>
    <w:rsid w:val="00602AD6"/>
    <w:rsid w:val="006111A2"/>
    <w:rsid w:val="0061185B"/>
    <w:rsid w:val="0062338C"/>
    <w:rsid w:val="00625346"/>
    <w:rsid w:val="0062767A"/>
    <w:rsid w:val="00640CA2"/>
    <w:rsid w:val="00641243"/>
    <w:rsid w:val="00645DE6"/>
    <w:rsid w:val="00651442"/>
    <w:rsid w:val="006515FE"/>
    <w:rsid w:val="006563C4"/>
    <w:rsid w:val="00674DA2"/>
    <w:rsid w:val="00681EB6"/>
    <w:rsid w:val="006A14B8"/>
    <w:rsid w:val="006A170D"/>
    <w:rsid w:val="006A5AA6"/>
    <w:rsid w:val="006B2503"/>
    <w:rsid w:val="006B5064"/>
    <w:rsid w:val="006B7A07"/>
    <w:rsid w:val="006C5CD2"/>
    <w:rsid w:val="006D3D5B"/>
    <w:rsid w:val="006D646F"/>
    <w:rsid w:val="006E2E8D"/>
    <w:rsid w:val="006E3E4B"/>
    <w:rsid w:val="006F002F"/>
    <w:rsid w:val="007134B3"/>
    <w:rsid w:val="00717852"/>
    <w:rsid w:val="00723CC7"/>
    <w:rsid w:val="0072468B"/>
    <w:rsid w:val="00734A09"/>
    <w:rsid w:val="00736A01"/>
    <w:rsid w:val="00753D39"/>
    <w:rsid w:val="00755117"/>
    <w:rsid w:val="00762B27"/>
    <w:rsid w:val="00765B8D"/>
    <w:rsid w:val="00771F84"/>
    <w:rsid w:val="0077235C"/>
    <w:rsid w:val="00782546"/>
    <w:rsid w:val="00782710"/>
    <w:rsid w:val="007879D3"/>
    <w:rsid w:val="007910D2"/>
    <w:rsid w:val="007946AC"/>
    <w:rsid w:val="007B0EAA"/>
    <w:rsid w:val="007C1E98"/>
    <w:rsid w:val="007C3997"/>
    <w:rsid w:val="007F0673"/>
    <w:rsid w:val="007F1E8D"/>
    <w:rsid w:val="0080050F"/>
    <w:rsid w:val="00801C33"/>
    <w:rsid w:val="00803640"/>
    <w:rsid w:val="00807F72"/>
    <w:rsid w:val="00815351"/>
    <w:rsid w:val="00815D03"/>
    <w:rsid w:val="00821B44"/>
    <w:rsid w:val="00821DAD"/>
    <w:rsid w:val="00841044"/>
    <w:rsid w:val="008500AB"/>
    <w:rsid w:val="00863804"/>
    <w:rsid w:val="0086502D"/>
    <w:rsid w:val="0087092A"/>
    <w:rsid w:val="00871302"/>
    <w:rsid w:val="00873483"/>
    <w:rsid w:val="00874771"/>
    <w:rsid w:val="0087647E"/>
    <w:rsid w:val="00881757"/>
    <w:rsid w:val="0088587F"/>
    <w:rsid w:val="0089029B"/>
    <w:rsid w:val="008915F6"/>
    <w:rsid w:val="00893EF8"/>
    <w:rsid w:val="00896351"/>
    <w:rsid w:val="008A2D4D"/>
    <w:rsid w:val="008B3CA6"/>
    <w:rsid w:val="008C4D5E"/>
    <w:rsid w:val="008D4B52"/>
    <w:rsid w:val="008D5CB5"/>
    <w:rsid w:val="008E3538"/>
    <w:rsid w:val="008E3AEC"/>
    <w:rsid w:val="008E479C"/>
    <w:rsid w:val="008F3FD6"/>
    <w:rsid w:val="008F4D40"/>
    <w:rsid w:val="008F73FB"/>
    <w:rsid w:val="00907520"/>
    <w:rsid w:val="00916346"/>
    <w:rsid w:val="00924757"/>
    <w:rsid w:val="00931AEF"/>
    <w:rsid w:val="00931B8B"/>
    <w:rsid w:val="00933EF4"/>
    <w:rsid w:val="0093710A"/>
    <w:rsid w:val="009459C2"/>
    <w:rsid w:val="00950B15"/>
    <w:rsid w:val="00953663"/>
    <w:rsid w:val="00970820"/>
    <w:rsid w:val="00970984"/>
    <w:rsid w:val="009774F4"/>
    <w:rsid w:val="009802AC"/>
    <w:rsid w:val="0098465C"/>
    <w:rsid w:val="00990A2F"/>
    <w:rsid w:val="00997B07"/>
    <w:rsid w:val="009B014B"/>
    <w:rsid w:val="009B1269"/>
    <w:rsid w:val="009B1FF9"/>
    <w:rsid w:val="009B6E24"/>
    <w:rsid w:val="009C21F8"/>
    <w:rsid w:val="009D179A"/>
    <w:rsid w:val="009E032B"/>
    <w:rsid w:val="009E73FA"/>
    <w:rsid w:val="00A014C8"/>
    <w:rsid w:val="00A04943"/>
    <w:rsid w:val="00A20D92"/>
    <w:rsid w:val="00A2313C"/>
    <w:rsid w:val="00A274B5"/>
    <w:rsid w:val="00A316B6"/>
    <w:rsid w:val="00A3716D"/>
    <w:rsid w:val="00A37A64"/>
    <w:rsid w:val="00A37B01"/>
    <w:rsid w:val="00A410D0"/>
    <w:rsid w:val="00A51018"/>
    <w:rsid w:val="00A52B49"/>
    <w:rsid w:val="00A65430"/>
    <w:rsid w:val="00A7179F"/>
    <w:rsid w:val="00A82093"/>
    <w:rsid w:val="00A86CD0"/>
    <w:rsid w:val="00AA77D1"/>
    <w:rsid w:val="00AB4C7E"/>
    <w:rsid w:val="00AB558E"/>
    <w:rsid w:val="00AB6190"/>
    <w:rsid w:val="00AD3D4A"/>
    <w:rsid w:val="00AD7393"/>
    <w:rsid w:val="00AD7B96"/>
    <w:rsid w:val="00B02661"/>
    <w:rsid w:val="00B10AF4"/>
    <w:rsid w:val="00B213DF"/>
    <w:rsid w:val="00B233FD"/>
    <w:rsid w:val="00B35C71"/>
    <w:rsid w:val="00B42209"/>
    <w:rsid w:val="00B6008F"/>
    <w:rsid w:val="00B71224"/>
    <w:rsid w:val="00BA1EFC"/>
    <w:rsid w:val="00BA3AC7"/>
    <w:rsid w:val="00BA7C57"/>
    <w:rsid w:val="00BC2824"/>
    <w:rsid w:val="00BC4D74"/>
    <w:rsid w:val="00BC7DD5"/>
    <w:rsid w:val="00BD6ACA"/>
    <w:rsid w:val="00BF0B6F"/>
    <w:rsid w:val="00BF37A2"/>
    <w:rsid w:val="00C0476D"/>
    <w:rsid w:val="00C05F3B"/>
    <w:rsid w:val="00C243F9"/>
    <w:rsid w:val="00C24AE4"/>
    <w:rsid w:val="00C319B8"/>
    <w:rsid w:val="00C3732A"/>
    <w:rsid w:val="00C444AA"/>
    <w:rsid w:val="00C55751"/>
    <w:rsid w:val="00C62C69"/>
    <w:rsid w:val="00C716D8"/>
    <w:rsid w:val="00C72962"/>
    <w:rsid w:val="00C75270"/>
    <w:rsid w:val="00C76782"/>
    <w:rsid w:val="00C808BB"/>
    <w:rsid w:val="00C81B64"/>
    <w:rsid w:val="00C91CD0"/>
    <w:rsid w:val="00CA0DB4"/>
    <w:rsid w:val="00CA33CC"/>
    <w:rsid w:val="00CA5C45"/>
    <w:rsid w:val="00CB1950"/>
    <w:rsid w:val="00CB2D42"/>
    <w:rsid w:val="00CB46F2"/>
    <w:rsid w:val="00CC7E79"/>
    <w:rsid w:val="00CD4100"/>
    <w:rsid w:val="00CD4C03"/>
    <w:rsid w:val="00CF0B5A"/>
    <w:rsid w:val="00CF220D"/>
    <w:rsid w:val="00CF74F6"/>
    <w:rsid w:val="00D07C71"/>
    <w:rsid w:val="00D15BE2"/>
    <w:rsid w:val="00D32B09"/>
    <w:rsid w:val="00D331FD"/>
    <w:rsid w:val="00D4622F"/>
    <w:rsid w:val="00D70BE2"/>
    <w:rsid w:val="00D70CE8"/>
    <w:rsid w:val="00D7133B"/>
    <w:rsid w:val="00D7654D"/>
    <w:rsid w:val="00D82D82"/>
    <w:rsid w:val="00D8757E"/>
    <w:rsid w:val="00D92B73"/>
    <w:rsid w:val="00D9348A"/>
    <w:rsid w:val="00D94589"/>
    <w:rsid w:val="00DA062F"/>
    <w:rsid w:val="00DA1087"/>
    <w:rsid w:val="00DA1E88"/>
    <w:rsid w:val="00DA2CA0"/>
    <w:rsid w:val="00DA4ED2"/>
    <w:rsid w:val="00DA4F8D"/>
    <w:rsid w:val="00DB5D93"/>
    <w:rsid w:val="00DC7EB4"/>
    <w:rsid w:val="00DE26D4"/>
    <w:rsid w:val="00DE750C"/>
    <w:rsid w:val="00DF0047"/>
    <w:rsid w:val="00DF0F88"/>
    <w:rsid w:val="00DF6262"/>
    <w:rsid w:val="00DF7331"/>
    <w:rsid w:val="00E05BBE"/>
    <w:rsid w:val="00E1518A"/>
    <w:rsid w:val="00E21A74"/>
    <w:rsid w:val="00E22CA8"/>
    <w:rsid w:val="00E37625"/>
    <w:rsid w:val="00E475D1"/>
    <w:rsid w:val="00E50306"/>
    <w:rsid w:val="00E551B9"/>
    <w:rsid w:val="00E64D05"/>
    <w:rsid w:val="00E67FE8"/>
    <w:rsid w:val="00E72925"/>
    <w:rsid w:val="00E72AD3"/>
    <w:rsid w:val="00E76032"/>
    <w:rsid w:val="00E76668"/>
    <w:rsid w:val="00E93841"/>
    <w:rsid w:val="00E93DBE"/>
    <w:rsid w:val="00E972AE"/>
    <w:rsid w:val="00EA3C8D"/>
    <w:rsid w:val="00EB1B87"/>
    <w:rsid w:val="00EB2BF2"/>
    <w:rsid w:val="00EB547C"/>
    <w:rsid w:val="00EC07A7"/>
    <w:rsid w:val="00EC41A8"/>
    <w:rsid w:val="00ED028F"/>
    <w:rsid w:val="00ED0BD3"/>
    <w:rsid w:val="00EE0488"/>
    <w:rsid w:val="00EF2D9D"/>
    <w:rsid w:val="00F00B26"/>
    <w:rsid w:val="00F1122B"/>
    <w:rsid w:val="00F22915"/>
    <w:rsid w:val="00F23DB1"/>
    <w:rsid w:val="00F25040"/>
    <w:rsid w:val="00F265A6"/>
    <w:rsid w:val="00F26F0A"/>
    <w:rsid w:val="00F27B12"/>
    <w:rsid w:val="00F3095A"/>
    <w:rsid w:val="00F37ECA"/>
    <w:rsid w:val="00F44C77"/>
    <w:rsid w:val="00F6061A"/>
    <w:rsid w:val="00F62870"/>
    <w:rsid w:val="00F65D6B"/>
    <w:rsid w:val="00F67902"/>
    <w:rsid w:val="00F72E60"/>
    <w:rsid w:val="00F85BE2"/>
    <w:rsid w:val="00F9757E"/>
    <w:rsid w:val="00FA3E74"/>
    <w:rsid w:val="00FB1870"/>
    <w:rsid w:val="00FC38AD"/>
    <w:rsid w:val="00FC5EAB"/>
    <w:rsid w:val="00FC7B92"/>
    <w:rsid w:val="00FD03E4"/>
    <w:rsid w:val="00FD0B52"/>
    <w:rsid w:val="00FD5519"/>
    <w:rsid w:val="00FD6C59"/>
    <w:rsid w:val="00FF2A93"/>
    <w:rsid w:val="00FF396E"/>
    <w:rsid w:val="00FF3EBD"/>
    <w:rsid w:val="00FF3FBC"/>
    <w:rsid w:val="01014AD6"/>
    <w:rsid w:val="01097D9A"/>
    <w:rsid w:val="0119445B"/>
    <w:rsid w:val="01194C0A"/>
    <w:rsid w:val="01307038"/>
    <w:rsid w:val="01321479"/>
    <w:rsid w:val="013E52B4"/>
    <w:rsid w:val="0140544F"/>
    <w:rsid w:val="014E1123"/>
    <w:rsid w:val="016170DB"/>
    <w:rsid w:val="018551D2"/>
    <w:rsid w:val="019716A6"/>
    <w:rsid w:val="019F601D"/>
    <w:rsid w:val="01A016D9"/>
    <w:rsid w:val="01A455AE"/>
    <w:rsid w:val="01B440EC"/>
    <w:rsid w:val="01B516F5"/>
    <w:rsid w:val="01BA5784"/>
    <w:rsid w:val="02077827"/>
    <w:rsid w:val="0209501C"/>
    <w:rsid w:val="02267861"/>
    <w:rsid w:val="022906A0"/>
    <w:rsid w:val="022976BB"/>
    <w:rsid w:val="02336FEC"/>
    <w:rsid w:val="023544F6"/>
    <w:rsid w:val="02367631"/>
    <w:rsid w:val="023D2F04"/>
    <w:rsid w:val="02400266"/>
    <w:rsid w:val="0259709A"/>
    <w:rsid w:val="026813B4"/>
    <w:rsid w:val="0271222D"/>
    <w:rsid w:val="027F608D"/>
    <w:rsid w:val="029265E8"/>
    <w:rsid w:val="02972AFB"/>
    <w:rsid w:val="02A12001"/>
    <w:rsid w:val="02AD249B"/>
    <w:rsid w:val="02CB7B00"/>
    <w:rsid w:val="02CD1D0B"/>
    <w:rsid w:val="02D2217E"/>
    <w:rsid w:val="02D7069C"/>
    <w:rsid w:val="02E1557D"/>
    <w:rsid w:val="02E315D7"/>
    <w:rsid w:val="02E817F6"/>
    <w:rsid w:val="02EC223A"/>
    <w:rsid w:val="02F3318A"/>
    <w:rsid w:val="02F7659C"/>
    <w:rsid w:val="02FA07AF"/>
    <w:rsid w:val="02FF553B"/>
    <w:rsid w:val="03034355"/>
    <w:rsid w:val="0306158C"/>
    <w:rsid w:val="03133D55"/>
    <w:rsid w:val="031F7EF5"/>
    <w:rsid w:val="03316499"/>
    <w:rsid w:val="03334053"/>
    <w:rsid w:val="03337D64"/>
    <w:rsid w:val="033478D2"/>
    <w:rsid w:val="033A6C51"/>
    <w:rsid w:val="033A7987"/>
    <w:rsid w:val="033F22CF"/>
    <w:rsid w:val="03556600"/>
    <w:rsid w:val="03642C72"/>
    <w:rsid w:val="037E6D6A"/>
    <w:rsid w:val="038578AC"/>
    <w:rsid w:val="03AD2FD2"/>
    <w:rsid w:val="03AE3A4F"/>
    <w:rsid w:val="03B617B1"/>
    <w:rsid w:val="03C917AA"/>
    <w:rsid w:val="03CA5685"/>
    <w:rsid w:val="03D86DB0"/>
    <w:rsid w:val="040264C9"/>
    <w:rsid w:val="04105A55"/>
    <w:rsid w:val="04320718"/>
    <w:rsid w:val="043D6A5E"/>
    <w:rsid w:val="044847EA"/>
    <w:rsid w:val="04497378"/>
    <w:rsid w:val="04552644"/>
    <w:rsid w:val="0455723C"/>
    <w:rsid w:val="045A1373"/>
    <w:rsid w:val="047773BA"/>
    <w:rsid w:val="048D1551"/>
    <w:rsid w:val="04924A34"/>
    <w:rsid w:val="04A87071"/>
    <w:rsid w:val="04A9571E"/>
    <w:rsid w:val="04A979EB"/>
    <w:rsid w:val="04AF3E00"/>
    <w:rsid w:val="04B30832"/>
    <w:rsid w:val="04CF6D05"/>
    <w:rsid w:val="04E40AD3"/>
    <w:rsid w:val="04F3303A"/>
    <w:rsid w:val="04F509E9"/>
    <w:rsid w:val="04F55751"/>
    <w:rsid w:val="04FB37FA"/>
    <w:rsid w:val="04FE3CA8"/>
    <w:rsid w:val="051D070E"/>
    <w:rsid w:val="051F632A"/>
    <w:rsid w:val="05311931"/>
    <w:rsid w:val="05334308"/>
    <w:rsid w:val="05351034"/>
    <w:rsid w:val="053A172D"/>
    <w:rsid w:val="05500FEF"/>
    <w:rsid w:val="05581990"/>
    <w:rsid w:val="055D22BD"/>
    <w:rsid w:val="0562657A"/>
    <w:rsid w:val="05632768"/>
    <w:rsid w:val="058D3C73"/>
    <w:rsid w:val="059D44F4"/>
    <w:rsid w:val="05AB4C80"/>
    <w:rsid w:val="05AC0CF1"/>
    <w:rsid w:val="05AF4FBB"/>
    <w:rsid w:val="05C0366A"/>
    <w:rsid w:val="05C47A3F"/>
    <w:rsid w:val="05C75C47"/>
    <w:rsid w:val="05CA098C"/>
    <w:rsid w:val="05CB2734"/>
    <w:rsid w:val="05CC0DF7"/>
    <w:rsid w:val="05DD246D"/>
    <w:rsid w:val="05DF345B"/>
    <w:rsid w:val="05E13DE0"/>
    <w:rsid w:val="05E21D72"/>
    <w:rsid w:val="05E73F1D"/>
    <w:rsid w:val="05F67D64"/>
    <w:rsid w:val="0608704E"/>
    <w:rsid w:val="060A4AB4"/>
    <w:rsid w:val="061E2E20"/>
    <w:rsid w:val="06294165"/>
    <w:rsid w:val="062D5FA9"/>
    <w:rsid w:val="06347798"/>
    <w:rsid w:val="06414BB9"/>
    <w:rsid w:val="06511F95"/>
    <w:rsid w:val="06582443"/>
    <w:rsid w:val="065E4746"/>
    <w:rsid w:val="06660C42"/>
    <w:rsid w:val="068539B3"/>
    <w:rsid w:val="0687601D"/>
    <w:rsid w:val="06905043"/>
    <w:rsid w:val="069B4368"/>
    <w:rsid w:val="06A336B9"/>
    <w:rsid w:val="06A836D9"/>
    <w:rsid w:val="06A8608C"/>
    <w:rsid w:val="06BA3AE7"/>
    <w:rsid w:val="06BE035C"/>
    <w:rsid w:val="06BF40B5"/>
    <w:rsid w:val="06CB1E30"/>
    <w:rsid w:val="06D250CF"/>
    <w:rsid w:val="07006786"/>
    <w:rsid w:val="07064EFB"/>
    <w:rsid w:val="07074DBD"/>
    <w:rsid w:val="0708351A"/>
    <w:rsid w:val="07097292"/>
    <w:rsid w:val="070A18EE"/>
    <w:rsid w:val="070C5CBB"/>
    <w:rsid w:val="07130940"/>
    <w:rsid w:val="07155962"/>
    <w:rsid w:val="07201F65"/>
    <w:rsid w:val="07223AE5"/>
    <w:rsid w:val="07272944"/>
    <w:rsid w:val="072F77C1"/>
    <w:rsid w:val="07373E1A"/>
    <w:rsid w:val="073E7324"/>
    <w:rsid w:val="073F4A62"/>
    <w:rsid w:val="074137BA"/>
    <w:rsid w:val="074564C6"/>
    <w:rsid w:val="0756295E"/>
    <w:rsid w:val="075A569D"/>
    <w:rsid w:val="07600F81"/>
    <w:rsid w:val="07602657"/>
    <w:rsid w:val="07614C4D"/>
    <w:rsid w:val="076444C8"/>
    <w:rsid w:val="077503DC"/>
    <w:rsid w:val="077E1248"/>
    <w:rsid w:val="07806ACA"/>
    <w:rsid w:val="078D0C96"/>
    <w:rsid w:val="07A5783C"/>
    <w:rsid w:val="07BC2785"/>
    <w:rsid w:val="07CA0913"/>
    <w:rsid w:val="07CC2056"/>
    <w:rsid w:val="07CF0703"/>
    <w:rsid w:val="07CF6C1A"/>
    <w:rsid w:val="07E3146D"/>
    <w:rsid w:val="07E91D63"/>
    <w:rsid w:val="07E977E0"/>
    <w:rsid w:val="07FE7B4B"/>
    <w:rsid w:val="08161EDF"/>
    <w:rsid w:val="082961BF"/>
    <w:rsid w:val="083857E8"/>
    <w:rsid w:val="08415425"/>
    <w:rsid w:val="08434104"/>
    <w:rsid w:val="08766BA9"/>
    <w:rsid w:val="087A5218"/>
    <w:rsid w:val="087F2A38"/>
    <w:rsid w:val="08866840"/>
    <w:rsid w:val="08892D02"/>
    <w:rsid w:val="089747E2"/>
    <w:rsid w:val="089761A3"/>
    <w:rsid w:val="08AB519E"/>
    <w:rsid w:val="08AB6E2F"/>
    <w:rsid w:val="08B0693A"/>
    <w:rsid w:val="08D348C0"/>
    <w:rsid w:val="08D9376B"/>
    <w:rsid w:val="08EB4516"/>
    <w:rsid w:val="08F1447B"/>
    <w:rsid w:val="08FD6A56"/>
    <w:rsid w:val="08FE56D5"/>
    <w:rsid w:val="08FF1727"/>
    <w:rsid w:val="09100189"/>
    <w:rsid w:val="09105F6A"/>
    <w:rsid w:val="09515715"/>
    <w:rsid w:val="096B5D7D"/>
    <w:rsid w:val="0978425B"/>
    <w:rsid w:val="098042BE"/>
    <w:rsid w:val="098758CE"/>
    <w:rsid w:val="099A3C64"/>
    <w:rsid w:val="09A43A81"/>
    <w:rsid w:val="09BC4975"/>
    <w:rsid w:val="09BE06EF"/>
    <w:rsid w:val="09BF1E8A"/>
    <w:rsid w:val="09D2503E"/>
    <w:rsid w:val="09E31BBC"/>
    <w:rsid w:val="09E8616D"/>
    <w:rsid w:val="09E86FA8"/>
    <w:rsid w:val="09F56731"/>
    <w:rsid w:val="09F6397D"/>
    <w:rsid w:val="09F71BD6"/>
    <w:rsid w:val="09F827DD"/>
    <w:rsid w:val="09FB2951"/>
    <w:rsid w:val="09FC4E8C"/>
    <w:rsid w:val="0A1D1FEB"/>
    <w:rsid w:val="0A2816F0"/>
    <w:rsid w:val="0A57101C"/>
    <w:rsid w:val="0A784017"/>
    <w:rsid w:val="0A8753D0"/>
    <w:rsid w:val="0A883F93"/>
    <w:rsid w:val="0A972D62"/>
    <w:rsid w:val="0A9C24EC"/>
    <w:rsid w:val="0A9E1E03"/>
    <w:rsid w:val="0AB27E31"/>
    <w:rsid w:val="0ABD2FCE"/>
    <w:rsid w:val="0AC42E04"/>
    <w:rsid w:val="0ACF359B"/>
    <w:rsid w:val="0AD339E3"/>
    <w:rsid w:val="0AD876A7"/>
    <w:rsid w:val="0ADA2A59"/>
    <w:rsid w:val="0ADC067F"/>
    <w:rsid w:val="0AF4672E"/>
    <w:rsid w:val="0AF67FE2"/>
    <w:rsid w:val="0AFB6757"/>
    <w:rsid w:val="0B07626B"/>
    <w:rsid w:val="0B0F2A46"/>
    <w:rsid w:val="0B146A39"/>
    <w:rsid w:val="0B1B7D53"/>
    <w:rsid w:val="0B1C303B"/>
    <w:rsid w:val="0B1F0E32"/>
    <w:rsid w:val="0B277755"/>
    <w:rsid w:val="0B2C584B"/>
    <w:rsid w:val="0B2E2D17"/>
    <w:rsid w:val="0B3B6178"/>
    <w:rsid w:val="0B4F3D8E"/>
    <w:rsid w:val="0B695078"/>
    <w:rsid w:val="0B6A7FC7"/>
    <w:rsid w:val="0B755556"/>
    <w:rsid w:val="0B7978EC"/>
    <w:rsid w:val="0B8B0032"/>
    <w:rsid w:val="0B8E7D66"/>
    <w:rsid w:val="0B9E7FA6"/>
    <w:rsid w:val="0BA35E79"/>
    <w:rsid w:val="0BA403FA"/>
    <w:rsid w:val="0BA565ED"/>
    <w:rsid w:val="0BAB5811"/>
    <w:rsid w:val="0BAE21DD"/>
    <w:rsid w:val="0BB772F0"/>
    <w:rsid w:val="0BDF36E3"/>
    <w:rsid w:val="0BF11109"/>
    <w:rsid w:val="0BF34495"/>
    <w:rsid w:val="0BFA367B"/>
    <w:rsid w:val="0BFA53FB"/>
    <w:rsid w:val="0C0F4354"/>
    <w:rsid w:val="0C130BE2"/>
    <w:rsid w:val="0C176F1F"/>
    <w:rsid w:val="0C295DDB"/>
    <w:rsid w:val="0C2A171E"/>
    <w:rsid w:val="0C2A56A1"/>
    <w:rsid w:val="0C2D5EA4"/>
    <w:rsid w:val="0C4B4FF4"/>
    <w:rsid w:val="0C5040AC"/>
    <w:rsid w:val="0C5E0B6D"/>
    <w:rsid w:val="0C6C2E6F"/>
    <w:rsid w:val="0C785D35"/>
    <w:rsid w:val="0C871385"/>
    <w:rsid w:val="0C8B73E0"/>
    <w:rsid w:val="0C8E0D45"/>
    <w:rsid w:val="0C9048C1"/>
    <w:rsid w:val="0C937E3B"/>
    <w:rsid w:val="0C9823A2"/>
    <w:rsid w:val="0C9921DA"/>
    <w:rsid w:val="0CA86754"/>
    <w:rsid w:val="0CB46876"/>
    <w:rsid w:val="0CBF2F37"/>
    <w:rsid w:val="0CCB1C7D"/>
    <w:rsid w:val="0CCC58B5"/>
    <w:rsid w:val="0CCC7BDF"/>
    <w:rsid w:val="0CD135E3"/>
    <w:rsid w:val="0CD330AE"/>
    <w:rsid w:val="0CDD5F54"/>
    <w:rsid w:val="0CEC24B4"/>
    <w:rsid w:val="0CED7F1B"/>
    <w:rsid w:val="0CF720C2"/>
    <w:rsid w:val="0CF81FF6"/>
    <w:rsid w:val="0D06391F"/>
    <w:rsid w:val="0D076A92"/>
    <w:rsid w:val="0D1930B0"/>
    <w:rsid w:val="0D2A56DD"/>
    <w:rsid w:val="0D323584"/>
    <w:rsid w:val="0D3A7B26"/>
    <w:rsid w:val="0D45353C"/>
    <w:rsid w:val="0D543645"/>
    <w:rsid w:val="0D8D568C"/>
    <w:rsid w:val="0D93145F"/>
    <w:rsid w:val="0D9B15BD"/>
    <w:rsid w:val="0D9E5B8E"/>
    <w:rsid w:val="0DA01C73"/>
    <w:rsid w:val="0DA10D60"/>
    <w:rsid w:val="0DA815B3"/>
    <w:rsid w:val="0DB043F9"/>
    <w:rsid w:val="0DB25311"/>
    <w:rsid w:val="0DB965C1"/>
    <w:rsid w:val="0DBC1238"/>
    <w:rsid w:val="0DC053CE"/>
    <w:rsid w:val="0DC669AC"/>
    <w:rsid w:val="0DC825DD"/>
    <w:rsid w:val="0DC97767"/>
    <w:rsid w:val="0DD02CE6"/>
    <w:rsid w:val="0DEE2D3E"/>
    <w:rsid w:val="0DFE2A72"/>
    <w:rsid w:val="0E084A38"/>
    <w:rsid w:val="0E0E2B36"/>
    <w:rsid w:val="0E16383D"/>
    <w:rsid w:val="0E2B5A37"/>
    <w:rsid w:val="0E2B6F51"/>
    <w:rsid w:val="0E3C2BDE"/>
    <w:rsid w:val="0E513988"/>
    <w:rsid w:val="0E71190C"/>
    <w:rsid w:val="0E8518F4"/>
    <w:rsid w:val="0E990EFC"/>
    <w:rsid w:val="0EA0481A"/>
    <w:rsid w:val="0EA44CB7"/>
    <w:rsid w:val="0EBA1F9D"/>
    <w:rsid w:val="0EBA254F"/>
    <w:rsid w:val="0EC474FC"/>
    <w:rsid w:val="0EC8358F"/>
    <w:rsid w:val="0EC962DA"/>
    <w:rsid w:val="0ECA647B"/>
    <w:rsid w:val="0ED66EA6"/>
    <w:rsid w:val="0EF530EB"/>
    <w:rsid w:val="0EFA0594"/>
    <w:rsid w:val="0F03639F"/>
    <w:rsid w:val="0F073270"/>
    <w:rsid w:val="0F100535"/>
    <w:rsid w:val="0F130683"/>
    <w:rsid w:val="0F184E0F"/>
    <w:rsid w:val="0F222127"/>
    <w:rsid w:val="0F2B3A99"/>
    <w:rsid w:val="0F2C330D"/>
    <w:rsid w:val="0F3538A8"/>
    <w:rsid w:val="0F3D0575"/>
    <w:rsid w:val="0F45360C"/>
    <w:rsid w:val="0F4545E3"/>
    <w:rsid w:val="0F4A0B3F"/>
    <w:rsid w:val="0F4D0CB7"/>
    <w:rsid w:val="0F4D59D8"/>
    <w:rsid w:val="0F52090F"/>
    <w:rsid w:val="0F545D35"/>
    <w:rsid w:val="0F5601D3"/>
    <w:rsid w:val="0F603BB4"/>
    <w:rsid w:val="0F69623B"/>
    <w:rsid w:val="0F6A6750"/>
    <w:rsid w:val="0F6F0683"/>
    <w:rsid w:val="0F7E3C10"/>
    <w:rsid w:val="0F85289A"/>
    <w:rsid w:val="0F9E2BAE"/>
    <w:rsid w:val="0FAE0206"/>
    <w:rsid w:val="0FB96D88"/>
    <w:rsid w:val="0FC41FA8"/>
    <w:rsid w:val="0FCC50C3"/>
    <w:rsid w:val="0FDF4803"/>
    <w:rsid w:val="0FE93F78"/>
    <w:rsid w:val="0FEA6A48"/>
    <w:rsid w:val="0FED0F6D"/>
    <w:rsid w:val="0FFF7463"/>
    <w:rsid w:val="10234B6E"/>
    <w:rsid w:val="10274C2E"/>
    <w:rsid w:val="102C4E4F"/>
    <w:rsid w:val="103709CC"/>
    <w:rsid w:val="10424F24"/>
    <w:rsid w:val="10500477"/>
    <w:rsid w:val="10540C60"/>
    <w:rsid w:val="105D1BB2"/>
    <w:rsid w:val="10701279"/>
    <w:rsid w:val="107E484D"/>
    <w:rsid w:val="108070F5"/>
    <w:rsid w:val="108F4207"/>
    <w:rsid w:val="1097340D"/>
    <w:rsid w:val="10A42640"/>
    <w:rsid w:val="10A706E1"/>
    <w:rsid w:val="10B048BD"/>
    <w:rsid w:val="10C43596"/>
    <w:rsid w:val="10C5603A"/>
    <w:rsid w:val="10DF669F"/>
    <w:rsid w:val="10EC078D"/>
    <w:rsid w:val="10F707B6"/>
    <w:rsid w:val="10FA1DD4"/>
    <w:rsid w:val="11067ADE"/>
    <w:rsid w:val="1109680C"/>
    <w:rsid w:val="110B3D62"/>
    <w:rsid w:val="110B4A05"/>
    <w:rsid w:val="110F1A1A"/>
    <w:rsid w:val="111D7DC4"/>
    <w:rsid w:val="112C6057"/>
    <w:rsid w:val="11353F62"/>
    <w:rsid w:val="113E5C87"/>
    <w:rsid w:val="114059CE"/>
    <w:rsid w:val="114907B9"/>
    <w:rsid w:val="11645858"/>
    <w:rsid w:val="11654705"/>
    <w:rsid w:val="11713336"/>
    <w:rsid w:val="118574F8"/>
    <w:rsid w:val="118A438A"/>
    <w:rsid w:val="118D47F3"/>
    <w:rsid w:val="11913A22"/>
    <w:rsid w:val="11915F85"/>
    <w:rsid w:val="11A37326"/>
    <w:rsid w:val="11B36D46"/>
    <w:rsid w:val="11B85ECF"/>
    <w:rsid w:val="11BD7EFE"/>
    <w:rsid w:val="11C52E3B"/>
    <w:rsid w:val="11CC49E9"/>
    <w:rsid w:val="11D66B3D"/>
    <w:rsid w:val="11DD42A2"/>
    <w:rsid w:val="11ED4BDB"/>
    <w:rsid w:val="11F9004C"/>
    <w:rsid w:val="12130C09"/>
    <w:rsid w:val="12160CC9"/>
    <w:rsid w:val="121B5A61"/>
    <w:rsid w:val="12260CF8"/>
    <w:rsid w:val="123F625E"/>
    <w:rsid w:val="12492C39"/>
    <w:rsid w:val="12555891"/>
    <w:rsid w:val="125A71C1"/>
    <w:rsid w:val="12665E56"/>
    <w:rsid w:val="12754662"/>
    <w:rsid w:val="12894D3B"/>
    <w:rsid w:val="12A51ED8"/>
    <w:rsid w:val="12AB51AF"/>
    <w:rsid w:val="12AC2238"/>
    <w:rsid w:val="12C448C8"/>
    <w:rsid w:val="12CC4592"/>
    <w:rsid w:val="12E517B2"/>
    <w:rsid w:val="12EB38D0"/>
    <w:rsid w:val="12ED49BA"/>
    <w:rsid w:val="12F75E3C"/>
    <w:rsid w:val="12FF6E8E"/>
    <w:rsid w:val="13114DDA"/>
    <w:rsid w:val="1322041C"/>
    <w:rsid w:val="132451C3"/>
    <w:rsid w:val="132505D3"/>
    <w:rsid w:val="132C04E6"/>
    <w:rsid w:val="13341AC2"/>
    <w:rsid w:val="13392BA7"/>
    <w:rsid w:val="13497394"/>
    <w:rsid w:val="134A0D82"/>
    <w:rsid w:val="134D7049"/>
    <w:rsid w:val="13522445"/>
    <w:rsid w:val="1360282C"/>
    <w:rsid w:val="13610261"/>
    <w:rsid w:val="137137C3"/>
    <w:rsid w:val="138B7450"/>
    <w:rsid w:val="13A40D4C"/>
    <w:rsid w:val="13B83023"/>
    <w:rsid w:val="13BB4B45"/>
    <w:rsid w:val="13C16263"/>
    <w:rsid w:val="13D33102"/>
    <w:rsid w:val="13D82443"/>
    <w:rsid w:val="13D86892"/>
    <w:rsid w:val="13DD638A"/>
    <w:rsid w:val="13ED0416"/>
    <w:rsid w:val="13EF1E9F"/>
    <w:rsid w:val="14034569"/>
    <w:rsid w:val="14202500"/>
    <w:rsid w:val="14244A95"/>
    <w:rsid w:val="14275746"/>
    <w:rsid w:val="142B078F"/>
    <w:rsid w:val="143615B5"/>
    <w:rsid w:val="14393AC2"/>
    <w:rsid w:val="143D67CD"/>
    <w:rsid w:val="14525DF7"/>
    <w:rsid w:val="145C04EF"/>
    <w:rsid w:val="14634EFD"/>
    <w:rsid w:val="147407DE"/>
    <w:rsid w:val="147920A3"/>
    <w:rsid w:val="14797990"/>
    <w:rsid w:val="14840A6B"/>
    <w:rsid w:val="14847F58"/>
    <w:rsid w:val="148829D8"/>
    <w:rsid w:val="148A314D"/>
    <w:rsid w:val="1493679D"/>
    <w:rsid w:val="149D6F04"/>
    <w:rsid w:val="14B34A97"/>
    <w:rsid w:val="14D42661"/>
    <w:rsid w:val="14D80DDD"/>
    <w:rsid w:val="14DE2FA2"/>
    <w:rsid w:val="14F308AA"/>
    <w:rsid w:val="151749D5"/>
    <w:rsid w:val="152519AA"/>
    <w:rsid w:val="15392485"/>
    <w:rsid w:val="153E17CA"/>
    <w:rsid w:val="154D5C96"/>
    <w:rsid w:val="15501F10"/>
    <w:rsid w:val="1551744B"/>
    <w:rsid w:val="15526403"/>
    <w:rsid w:val="155D42FC"/>
    <w:rsid w:val="158057BA"/>
    <w:rsid w:val="15830987"/>
    <w:rsid w:val="159D71C5"/>
    <w:rsid w:val="15A52CB9"/>
    <w:rsid w:val="15B42085"/>
    <w:rsid w:val="15BD72F4"/>
    <w:rsid w:val="15BD7B3C"/>
    <w:rsid w:val="15C34B35"/>
    <w:rsid w:val="15D82136"/>
    <w:rsid w:val="15DA5335"/>
    <w:rsid w:val="15EE2533"/>
    <w:rsid w:val="15F30582"/>
    <w:rsid w:val="15FD6214"/>
    <w:rsid w:val="160E763F"/>
    <w:rsid w:val="160F0164"/>
    <w:rsid w:val="1639076D"/>
    <w:rsid w:val="163F5BEE"/>
    <w:rsid w:val="16411FC6"/>
    <w:rsid w:val="1647165B"/>
    <w:rsid w:val="165B08A7"/>
    <w:rsid w:val="166E5C84"/>
    <w:rsid w:val="1677316D"/>
    <w:rsid w:val="16884C6C"/>
    <w:rsid w:val="16A94EC1"/>
    <w:rsid w:val="16BD6B99"/>
    <w:rsid w:val="16BF745F"/>
    <w:rsid w:val="16CB3F95"/>
    <w:rsid w:val="16CC04C8"/>
    <w:rsid w:val="16CD7018"/>
    <w:rsid w:val="16D02958"/>
    <w:rsid w:val="16D949C1"/>
    <w:rsid w:val="16EF5600"/>
    <w:rsid w:val="16F8362A"/>
    <w:rsid w:val="17137B51"/>
    <w:rsid w:val="17142DF3"/>
    <w:rsid w:val="17426DDF"/>
    <w:rsid w:val="174367C7"/>
    <w:rsid w:val="17441A9E"/>
    <w:rsid w:val="174426A9"/>
    <w:rsid w:val="17446960"/>
    <w:rsid w:val="17451C21"/>
    <w:rsid w:val="1746749B"/>
    <w:rsid w:val="174D15E8"/>
    <w:rsid w:val="174E29A3"/>
    <w:rsid w:val="17523834"/>
    <w:rsid w:val="17586E54"/>
    <w:rsid w:val="1760273E"/>
    <w:rsid w:val="176C53FF"/>
    <w:rsid w:val="176D1C93"/>
    <w:rsid w:val="176E48BD"/>
    <w:rsid w:val="177735A0"/>
    <w:rsid w:val="177C485C"/>
    <w:rsid w:val="177C64F0"/>
    <w:rsid w:val="177F73EB"/>
    <w:rsid w:val="178A6E26"/>
    <w:rsid w:val="178C1440"/>
    <w:rsid w:val="17A0017B"/>
    <w:rsid w:val="17AC1CA0"/>
    <w:rsid w:val="17CC3D1C"/>
    <w:rsid w:val="17CE4D1D"/>
    <w:rsid w:val="17DC21D8"/>
    <w:rsid w:val="17E82DB8"/>
    <w:rsid w:val="17FE7963"/>
    <w:rsid w:val="1805184C"/>
    <w:rsid w:val="181853CC"/>
    <w:rsid w:val="181A2AE9"/>
    <w:rsid w:val="18216DAB"/>
    <w:rsid w:val="183A0D00"/>
    <w:rsid w:val="18425F87"/>
    <w:rsid w:val="184A690B"/>
    <w:rsid w:val="184C1525"/>
    <w:rsid w:val="184D597D"/>
    <w:rsid w:val="1852739C"/>
    <w:rsid w:val="18591AF7"/>
    <w:rsid w:val="185A7C04"/>
    <w:rsid w:val="185D3AF8"/>
    <w:rsid w:val="1865195E"/>
    <w:rsid w:val="186A0FA5"/>
    <w:rsid w:val="187A41D4"/>
    <w:rsid w:val="188162DA"/>
    <w:rsid w:val="188974DA"/>
    <w:rsid w:val="188E4A14"/>
    <w:rsid w:val="189A402C"/>
    <w:rsid w:val="189C000B"/>
    <w:rsid w:val="189F68A6"/>
    <w:rsid w:val="18A84ED7"/>
    <w:rsid w:val="18AC2274"/>
    <w:rsid w:val="18B44329"/>
    <w:rsid w:val="18C3287E"/>
    <w:rsid w:val="18C76190"/>
    <w:rsid w:val="18C9062F"/>
    <w:rsid w:val="18C92077"/>
    <w:rsid w:val="18D56FD4"/>
    <w:rsid w:val="18DD4476"/>
    <w:rsid w:val="18E11E1D"/>
    <w:rsid w:val="18E46EBD"/>
    <w:rsid w:val="18ED4ED0"/>
    <w:rsid w:val="18F27BD4"/>
    <w:rsid w:val="18FB7B54"/>
    <w:rsid w:val="18FC3864"/>
    <w:rsid w:val="18FE67C8"/>
    <w:rsid w:val="190036AF"/>
    <w:rsid w:val="1906408B"/>
    <w:rsid w:val="190A1508"/>
    <w:rsid w:val="190B62EE"/>
    <w:rsid w:val="1929433E"/>
    <w:rsid w:val="193056CC"/>
    <w:rsid w:val="193B01E3"/>
    <w:rsid w:val="193E36D6"/>
    <w:rsid w:val="194B1FDF"/>
    <w:rsid w:val="195B390D"/>
    <w:rsid w:val="195C3E2C"/>
    <w:rsid w:val="195D2822"/>
    <w:rsid w:val="196C1CCF"/>
    <w:rsid w:val="196C27C5"/>
    <w:rsid w:val="196D545F"/>
    <w:rsid w:val="196E09C4"/>
    <w:rsid w:val="19774FE9"/>
    <w:rsid w:val="197857E8"/>
    <w:rsid w:val="197C63CC"/>
    <w:rsid w:val="19805192"/>
    <w:rsid w:val="19947C0C"/>
    <w:rsid w:val="19A85C18"/>
    <w:rsid w:val="19AC5DEA"/>
    <w:rsid w:val="19BA08A1"/>
    <w:rsid w:val="19BC657E"/>
    <w:rsid w:val="19C95F8F"/>
    <w:rsid w:val="19CC487B"/>
    <w:rsid w:val="19DB5F78"/>
    <w:rsid w:val="19DC2503"/>
    <w:rsid w:val="19DE2DD1"/>
    <w:rsid w:val="19E7673E"/>
    <w:rsid w:val="19FB2BBD"/>
    <w:rsid w:val="1A096649"/>
    <w:rsid w:val="1A1E3B72"/>
    <w:rsid w:val="1A243B11"/>
    <w:rsid w:val="1A294771"/>
    <w:rsid w:val="1A33793C"/>
    <w:rsid w:val="1A340A80"/>
    <w:rsid w:val="1A4E34BA"/>
    <w:rsid w:val="1A4F52CD"/>
    <w:rsid w:val="1A507E75"/>
    <w:rsid w:val="1A533274"/>
    <w:rsid w:val="1A5403CD"/>
    <w:rsid w:val="1A56018E"/>
    <w:rsid w:val="1A6F1D46"/>
    <w:rsid w:val="1A703458"/>
    <w:rsid w:val="1A7837A2"/>
    <w:rsid w:val="1A817E34"/>
    <w:rsid w:val="1A832C70"/>
    <w:rsid w:val="1A84631F"/>
    <w:rsid w:val="1A935E4B"/>
    <w:rsid w:val="1A9434C5"/>
    <w:rsid w:val="1A961D65"/>
    <w:rsid w:val="1A9C1870"/>
    <w:rsid w:val="1A9D1AEC"/>
    <w:rsid w:val="1AA54B2E"/>
    <w:rsid w:val="1AAE3AFA"/>
    <w:rsid w:val="1AB7135A"/>
    <w:rsid w:val="1ACB1047"/>
    <w:rsid w:val="1ACE47BA"/>
    <w:rsid w:val="1ACF08EB"/>
    <w:rsid w:val="1ADC5513"/>
    <w:rsid w:val="1ADD5D7D"/>
    <w:rsid w:val="1AE131FD"/>
    <w:rsid w:val="1AE6004B"/>
    <w:rsid w:val="1AFC5048"/>
    <w:rsid w:val="1AFD6679"/>
    <w:rsid w:val="1B012D0C"/>
    <w:rsid w:val="1B042B2A"/>
    <w:rsid w:val="1B1069F9"/>
    <w:rsid w:val="1B1856EB"/>
    <w:rsid w:val="1B2B6B6F"/>
    <w:rsid w:val="1B330E5C"/>
    <w:rsid w:val="1B393C2E"/>
    <w:rsid w:val="1B3F224A"/>
    <w:rsid w:val="1B542D7A"/>
    <w:rsid w:val="1B712A38"/>
    <w:rsid w:val="1B7A57CA"/>
    <w:rsid w:val="1B7D66DB"/>
    <w:rsid w:val="1B893CA7"/>
    <w:rsid w:val="1B8C61AA"/>
    <w:rsid w:val="1B8F579A"/>
    <w:rsid w:val="1B930BB1"/>
    <w:rsid w:val="1B9E28F1"/>
    <w:rsid w:val="1BA17CF6"/>
    <w:rsid w:val="1BB1760D"/>
    <w:rsid w:val="1BC84F1A"/>
    <w:rsid w:val="1BCF7769"/>
    <w:rsid w:val="1BDF07D9"/>
    <w:rsid w:val="1BDF375D"/>
    <w:rsid w:val="1BE200A7"/>
    <w:rsid w:val="1BE20DF5"/>
    <w:rsid w:val="1BE81D43"/>
    <w:rsid w:val="1BE8422D"/>
    <w:rsid w:val="1BE84950"/>
    <w:rsid w:val="1BEA3378"/>
    <w:rsid w:val="1BED74C7"/>
    <w:rsid w:val="1BF62F20"/>
    <w:rsid w:val="1C057BD0"/>
    <w:rsid w:val="1C1C2DCD"/>
    <w:rsid w:val="1C1C5E0A"/>
    <w:rsid w:val="1C274092"/>
    <w:rsid w:val="1C534CAB"/>
    <w:rsid w:val="1C626095"/>
    <w:rsid w:val="1C632B27"/>
    <w:rsid w:val="1C6B037B"/>
    <w:rsid w:val="1C7502A4"/>
    <w:rsid w:val="1C887B77"/>
    <w:rsid w:val="1C8F4EED"/>
    <w:rsid w:val="1C922AAD"/>
    <w:rsid w:val="1CA679F5"/>
    <w:rsid w:val="1CA728DC"/>
    <w:rsid w:val="1CA84567"/>
    <w:rsid w:val="1CAD6B0C"/>
    <w:rsid w:val="1CB165E1"/>
    <w:rsid w:val="1CB2138E"/>
    <w:rsid w:val="1CB46B27"/>
    <w:rsid w:val="1CBF0E33"/>
    <w:rsid w:val="1CC17881"/>
    <w:rsid w:val="1CC40A93"/>
    <w:rsid w:val="1CCB0416"/>
    <w:rsid w:val="1CE35A74"/>
    <w:rsid w:val="1CE620C1"/>
    <w:rsid w:val="1CF90EAD"/>
    <w:rsid w:val="1D005DDD"/>
    <w:rsid w:val="1D051D13"/>
    <w:rsid w:val="1D0707D6"/>
    <w:rsid w:val="1D131029"/>
    <w:rsid w:val="1D1D5FCE"/>
    <w:rsid w:val="1D2E27D5"/>
    <w:rsid w:val="1D3B69D6"/>
    <w:rsid w:val="1D3F07B0"/>
    <w:rsid w:val="1D5E159E"/>
    <w:rsid w:val="1D671B39"/>
    <w:rsid w:val="1D746D67"/>
    <w:rsid w:val="1D8454E9"/>
    <w:rsid w:val="1D866537"/>
    <w:rsid w:val="1D8A404C"/>
    <w:rsid w:val="1DA156CD"/>
    <w:rsid w:val="1DA625EB"/>
    <w:rsid w:val="1DB35CDE"/>
    <w:rsid w:val="1DC40575"/>
    <w:rsid w:val="1DC44C72"/>
    <w:rsid w:val="1DE12380"/>
    <w:rsid w:val="1DE85BA8"/>
    <w:rsid w:val="1DE877AA"/>
    <w:rsid w:val="1E01399E"/>
    <w:rsid w:val="1E0A5445"/>
    <w:rsid w:val="1E2A0F6D"/>
    <w:rsid w:val="1E352CC5"/>
    <w:rsid w:val="1E37603B"/>
    <w:rsid w:val="1E3F1EE0"/>
    <w:rsid w:val="1E435D87"/>
    <w:rsid w:val="1E487E36"/>
    <w:rsid w:val="1E5E421E"/>
    <w:rsid w:val="1E612CB0"/>
    <w:rsid w:val="1E6D113B"/>
    <w:rsid w:val="1E6D4F08"/>
    <w:rsid w:val="1E946855"/>
    <w:rsid w:val="1E9A34EE"/>
    <w:rsid w:val="1E9C490A"/>
    <w:rsid w:val="1E9D6AC6"/>
    <w:rsid w:val="1EAD77D6"/>
    <w:rsid w:val="1EB7516A"/>
    <w:rsid w:val="1EC8609B"/>
    <w:rsid w:val="1ECC36D8"/>
    <w:rsid w:val="1ED87478"/>
    <w:rsid w:val="1F0C21EC"/>
    <w:rsid w:val="1F2942F3"/>
    <w:rsid w:val="1F3030F3"/>
    <w:rsid w:val="1F427603"/>
    <w:rsid w:val="1F4866DE"/>
    <w:rsid w:val="1F5D39EB"/>
    <w:rsid w:val="1F5F3A9B"/>
    <w:rsid w:val="1F7B659E"/>
    <w:rsid w:val="1F8015D2"/>
    <w:rsid w:val="1F8933DA"/>
    <w:rsid w:val="1F893AFB"/>
    <w:rsid w:val="1F98600C"/>
    <w:rsid w:val="1FB20BB1"/>
    <w:rsid w:val="1FD930D5"/>
    <w:rsid w:val="1FDA5CB2"/>
    <w:rsid w:val="1FE3358D"/>
    <w:rsid w:val="1FF01536"/>
    <w:rsid w:val="1FF7268D"/>
    <w:rsid w:val="200007B3"/>
    <w:rsid w:val="20004A7C"/>
    <w:rsid w:val="200636FA"/>
    <w:rsid w:val="200A13A3"/>
    <w:rsid w:val="200A1C59"/>
    <w:rsid w:val="201045E4"/>
    <w:rsid w:val="20115FC3"/>
    <w:rsid w:val="201D7271"/>
    <w:rsid w:val="20206912"/>
    <w:rsid w:val="2023197F"/>
    <w:rsid w:val="20237644"/>
    <w:rsid w:val="20325B6F"/>
    <w:rsid w:val="20373E9B"/>
    <w:rsid w:val="203776EA"/>
    <w:rsid w:val="203A2F2D"/>
    <w:rsid w:val="20651585"/>
    <w:rsid w:val="206B19B6"/>
    <w:rsid w:val="207020C3"/>
    <w:rsid w:val="208773E9"/>
    <w:rsid w:val="20885824"/>
    <w:rsid w:val="20886626"/>
    <w:rsid w:val="2089133F"/>
    <w:rsid w:val="208F1C60"/>
    <w:rsid w:val="20921ABF"/>
    <w:rsid w:val="20962D07"/>
    <w:rsid w:val="20AD0837"/>
    <w:rsid w:val="20BA5169"/>
    <w:rsid w:val="20C270C6"/>
    <w:rsid w:val="20C81DB3"/>
    <w:rsid w:val="20D55FB1"/>
    <w:rsid w:val="20E13956"/>
    <w:rsid w:val="20F20085"/>
    <w:rsid w:val="20F506D3"/>
    <w:rsid w:val="20F92174"/>
    <w:rsid w:val="210E10FF"/>
    <w:rsid w:val="211A0B5F"/>
    <w:rsid w:val="21210E6A"/>
    <w:rsid w:val="21254A63"/>
    <w:rsid w:val="212A6C04"/>
    <w:rsid w:val="212C4E5F"/>
    <w:rsid w:val="21544095"/>
    <w:rsid w:val="21661D01"/>
    <w:rsid w:val="21737425"/>
    <w:rsid w:val="21896328"/>
    <w:rsid w:val="218D3B09"/>
    <w:rsid w:val="21961DFF"/>
    <w:rsid w:val="21991976"/>
    <w:rsid w:val="219A485B"/>
    <w:rsid w:val="219B73A6"/>
    <w:rsid w:val="21A33424"/>
    <w:rsid w:val="21AA4BF6"/>
    <w:rsid w:val="21B83E2F"/>
    <w:rsid w:val="21C03450"/>
    <w:rsid w:val="21D71F12"/>
    <w:rsid w:val="21DE25D7"/>
    <w:rsid w:val="21E2672C"/>
    <w:rsid w:val="21EA5DA1"/>
    <w:rsid w:val="21FA41C6"/>
    <w:rsid w:val="220E7716"/>
    <w:rsid w:val="22183547"/>
    <w:rsid w:val="22215D9E"/>
    <w:rsid w:val="222A376A"/>
    <w:rsid w:val="224C6ADA"/>
    <w:rsid w:val="2263054A"/>
    <w:rsid w:val="226968C2"/>
    <w:rsid w:val="226F3D96"/>
    <w:rsid w:val="22802100"/>
    <w:rsid w:val="228F34E8"/>
    <w:rsid w:val="229723CB"/>
    <w:rsid w:val="229C0B63"/>
    <w:rsid w:val="22A370CB"/>
    <w:rsid w:val="22A92E00"/>
    <w:rsid w:val="22AE670E"/>
    <w:rsid w:val="22BE03E9"/>
    <w:rsid w:val="22C45354"/>
    <w:rsid w:val="22E2540A"/>
    <w:rsid w:val="22E358EB"/>
    <w:rsid w:val="22E56AFB"/>
    <w:rsid w:val="22EB7CB7"/>
    <w:rsid w:val="22F3303A"/>
    <w:rsid w:val="22FE23E8"/>
    <w:rsid w:val="230A1961"/>
    <w:rsid w:val="230B5EF5"/>
    <w:rsid w:val="231B78EA"/>
    <w:rsid w:val="232E5AEA"/>
    <w:rsid w:val="233F6A9C"/>
    <w:rsid w:val="234F6860"/>
    <w:rsid w:val="23725F6F"/>
    <w:rsid w:val="23730D53"/>
    <w:rsid w:val="2378337E"/>
    <w:rsid w:val="237D1005"/>
    <w:rsid w:val="23996EEE"/>
    <w:rsid w:val="239E212B"/>
    <w:rsid w:val="23A303B3"/>
    <w:rsid w:val="23A34CE4"/>
    <w:rsid w:val="23A9400D"/>
    <w:rsid w:val="23B61F9A"/>
    <w:rsid w:val="23BE5439"/>
    <w:rsid w:val="23C220F3"/>
    <w:rsid w:val="23C60EA6"/>
    <w:rsid w:val="23CF03C4"/>
    <w:rsid w:val="23D56CF2"/>
    <w:rsid w:val="23EB6B08"/>
    <w:rsid w:val="23ED4D63"/>
    <w:rsid w:val="23F26BD7"/>
    <w:rsid w:val="23FE43D7"/>
    <w:rsid w:val="23FF1FF1"/>
    <w:rsid w:val="2409047A"/>
    <w:rsid w:val="241458C1"/>
    <w:rsid w:val="24372E94"/>
    <w:rsid w:val="243E7023"/>
    <w:rsid w:val="244163D4"/>
    <w:rsid w:val="24476CD1"/>
    <w:rsid w:val="24482E6B"/>
    <w:rsid w:val="245579A2"/>
    <w:rsid w:val="245B753C"/>
    <w:rsid w:val="24613E58"/>
    <w:rsid w:val="24683F97"/>
    <w:rsid w:val="2477580D"/>
    <w:rsid w:val="247F6BEE"/>
    <w:rsid w:val="24862785"/>
    <w:rsid w:val="248E656C"/>
    <w:rsid w:val="24A563F4"/>
    <w:rsid w:val="24A843FE"/>
    <w:rsid w:val="24B2594B"/>
    <w:rsid w:val="24C467AC"/>
    <w:rsid w:val="24C62C56"/>
    <w:rsid w:val="24CB5A0A"/>
    <w:rsid w:val="24E147B8"/>
    <w:rsid w:val="24E52AD8"/>
    <w:rsid w:val="24EF6E88"/>
    <w:rsid w:val="24F61FEE"/>
    <w:rsid w:val="250133BF"/>
    <w:rsid w:val="25055436"/>
    <w:rsid w:val="2508042B"/>
    <w:rsid w:val="250C151D"/>
    <w:rsid w:val="251A095C"/>
    <w:rsid w:val="251C09D0"/>
    <w:rsid w:val="251D5F8B"/>
    <w:rsid w:val="25370CF8"/>
    <w:rsid w:val="25487DD2"/>
    <w:rsid w:val="254A50CD"/>
    <w:rsid w:val="254E7CC2"/>
    <w:rsid w:val="254F010E"/>
    <w:rsid w:val="25511368"/>
    <w:rsid w:val="255D16B6"/>
    <w:rsid w:val="256162BE"/>
    <w:rsid w:val="2563290A"/>
    <w:rsid w:val="2565156F"/>
    <w:rsid w:val="25744EEE"/>
    <w:rsid w:val="257E7985"/>
    <w:rsid w:val="258F55C6"/>
    <w:rsid w:val="25904646"/>
    <w:rsid w:val="25A76604"/>
    <w:rsid w:val="25B1595F"/>
    <w:rsid w:val="25BF3940"/>
    <w:rsid w:val="25D66A4B"/>
    <w:rsid w:val="260D35DF"/>
    <w:rsid w:val="26321771"/>
    <w:rsid w:val="26337C7B"/>
    <w:rsid w:val="26385759"/>
    <w:rsid w:val="263E6D68"/>
    <w:rsid w:val="263F0AA5"/>
    <w:rsid w:val="26415CA9"/>
    <w:rsid w:val="264F7EB4"/>
    <w:rsid w:val="265359DC"/>
    <w:rsid w:val="26584A99"/>
    <w:rsid w:val="266E3585"/>
    <w:rsid w:val="267A6708"/>
    <w:rsid w:val="268F1A42"/>
    <w:rsid w:val="269355B4"/>
    <w:rsid w:val="26B06D69"/>
    <w:rsid w:val="26BF6697"/>
    <w:rsid w:val="26D8140B"/>
    <w:rsid w:val="26F83206"/>
    <w:rsid w:val="26F9770C"/>
    <w:rsid w:val="270311B0"/>
    <w:rsid w:val="270D0281"/>
    <w:rsid w:val="27115B46"/>
    <w:rsid w:val="27257EF2"/>
    <w:rsid w:val="27281FE1"/>
    <w:rsid w:val="27313F6F"/>
    <w:rsid w:val="273A72C8"/>
    <w:rsid w:val="27432012"/>
    <w:rsid w:val="27450D0A"/>
    <w:rsid w:val="27456E37"/>
    <w:rsid w:val="27494B3C"/>
    <w:rsid w:val="27577724"/>
    <w:rsid w:val="275B7A39"/>
    <w:rsid w:val="2763350C"/>
    <w:rsid w:val="276C144B"/>
    <w:rsid w:val="276D6163"/>
    <w:rsid w:val="27706500"/>
    <w:rsid w:val="27810F9B"/>
    <w:rsid w:val="27891477"/>
    <w:rsid w:val="278C6A12"/>
    <w:rsid w:val="279076A5"/>
    <w:rsid w:val="27A2482D"/>
    <w:rsid w:val="27AD4793"/>
    <w:rsid w:val="27B84CC4"/>
    <w:rsid w:val="27CD4253"/>
    <w:rsid w:val="27D329F5"/>
    <w:rsid w:val="280426E5"/>
    <w:rsid w:val="280B368C"/>
    <w:rsid w:val="28133675"/>
    <w:rsid w:val="281475A2"/>
    <w:rsid w:val="281C3B4E"/>
    <w:rsid w:val="2821035B"/>
    <w:rsid w:val="282205F4"/>
    <w:rsid w:val="28290E00"/>
    <w:rsid w:val="282B0DBD"/>
    <w:rsid w:val="282F31CA"/>
    <w:rsid w:val="28304D62"/>
    <w:rsid w:val="283177E8"/>
    <w:rsid w:val="283F1D9E"/>
    <w:rsid w:val="28471919"/>
    <w:rsid w:val="28485322"/>
    <w:rsid w:val="284A33F3"/>
    <w:rsid w:val="284B2B92"/>
    <w:rsid w:val="28547512"/>
    <w:rsid w:val="28615461"/>
    <w:rsid w:val="28756C04"/>
    <w:rsid w:val="28820284"/>
    <w:rsid w:val="288E0F4E"/>
    <w:rsid w:val="28923764"/>
    <w:rsid w:val="28953CCD"/>
    <w:rsid w:val="289C51A3"/>
    <w:rsid w:val="28A44976"/>
    <w:rsid w:val="28B77E79"/>
    <w:rsid w:val="28C7785F"/>
    <w:rsid w:val="28CF3363"/>
    <w:rsid w:val="28D5290B"/>
    <w:rsid w:val="28D70B46"/>
    <w:rsid w:val="28E31299"/>
    <w:rsid w:val="28E37EC5"/>
    <w:rsid w:val="28EB0833"/>
    <w:rsid w:val="28F16C92"/>
    <w:rsid w:val="28FD2C87"/>
    <w:rsid w:val="2903304A"/>
    <w:rsid w:val="29053CF4"/>
    <w:rsid w:val="29091CD0"/>
    <w:rsid w:val="290A64FD"/>
    <w:rsid w:val="290E0242"/>
    <w:rsid w:val="291A4AE3"/>
    <w:rsid w:val="292B0CA1"/>
    <w:rsid w:val="29345625"/>
    <w:rsid w:val="294937CF"/>
    <w:rsid w:val="29511091"/>
    <w:rsid w:val="29787054"/>
    <w:rsid w:val="298E4DFE"/>
    <w:rsid w:val="29937936"/>
    <w:rsid w:val="29A45B59"/>
    <w:rsid w:val="29B7297C"/>
    <w:rsid w:val="29B750E5"/>
    <w:rsid w:val="29BC52A6"/>
    <w:rsid w:val="29BD7FA5"/>
    <w:rsid w:val="29BE5206"/>
    <w:rsid w:val="29C30966"/>
    <w:rsid w:val="29CB71B9"/>
    <w:rsid w:val="29CF49F3"/>
    <w:rsid w:val="29DB21D4"/>
    <w:rsid w:val="29E3793E"/>
    <w:rsid w:val="29E622FD"/>
    <w:rsid w:val="29E62995"/>
    <w:rsid w:val="29EB192D"/>
    <w:rsid w:val="29EF3972"/>
    <w:rsid w:val="29F948CE"/>
    <w:rsid w:val="29FF2190"/>
    <w:rsid w:val="2A062149"/>
    <w:rsid w:val="2A076B2D"/>
    <w:rsid w:val="2A2A3331"/>
    <w:rsid w:val="2A2B2EF8"/>
    <w:rsid w:val="2A2D57BC"/>
    <w:rsid w:val="2A3729A0"/>
    <w:rsid w:val="2A3C662D"/>
    <w:rsid w:val="2A4346E5"/>
    <w:rsid w:val="2A5F151C"/>
    <w:rsid w:val="2A6D47D8"/>
    <w:rsid w:val="2A804E51"/>
    <w:rsid w:val="2A817A2C"/>
    <w:rsid w:val="2A875AA6"/>
    <w:rsid w:val="2A8C2F78"/>
    <w:rsid w:val="2A8F232F"/>
    <w:rsid w:val="2A9D2995"/>
    <w:rsid w:val="2AA0338B"/>
    <w:rsid w:val="2AA03DEB"/>
    <w:rsid w:val="2AB045ED"/>
    <w:rsid w:val="2AB530F5"/>
    <w:rsid w:val="2ABF2BBC"/>
    <w:rsid w:val="2ACB566E"/>
    <w:rsid w:val="2AD619ED"/>
    <w:rsid w:val="2AEB4698"/>
    <w:rsid w:val="2B06518F"/>
    <w:rsid w:val="2B150F3D"/>
    <w:rsid w:val="2B1541B7"/>
    <w:rsid w:val="2B177920"/>
    <w:rsid w:val="2B1C2C64"/>
    <w:rsid w:val="2B2A292A"/>
    <w:rsid w:val="2B2A386E"/>
    <w:rsid w:val="2B303581"/>
    <w:rsid w:val="2B3F5697"/>
    <w:rsid w:val="2B5350C0"/>
    <w:rsid w:val="2B6514AF"/>
    <w:rsid w:val="2B6F5102"/>
    <w:rsid w:val="2B7D5008"/>
    <w:rsid w:val="2B7F11FD"/>
    <w:rsid w:val="2B7F302A"/>
    <w:rsid w:val="2B886BDC"/>
    <w:rsid w:val="2B91322F"/>
    <w:rsid w:val="2B9D7674"/>
    <w:rsid w:val="2BBB57F1"/>
    <w:rsid w:val="2BBD4CD9"/>
    <w:rsid w:val="2BBF0CCB"/>
    <w:rsid w:val="2BCA1E52"/>
    <w:rsid w:val="2BD26915"/>
    <w:rsid w:val="2BD93489"/>
    <w:rsid w:val="2BE73ED7"/>
    <w:rsid w:val="2BF26C90"/>
    <w:rsid w:val="2BF44073"/>
    <w:rsid w:val="2BFB3643"/>
    <w:rsid w:val="2C020636"/>
    <w:rsid w:val="2C026A7F"/>
    <w:rsid w:val="2C124E74"/>
    <w:rsid w:val="2C1B212F"/>
    <w:rsid w:val="2C1B6C43"/>
    <w:rsid w:val="2C2074EE"/>
    <w:rsid w:val="2C252B74"/>
    <w:rsid w:val="2C2B3579"/>
    <w:rsid w:val="2C2F2652"/>
    <w:rsid w:val="2C3167C0"/>
    <w:rsid w:val="2C3E3A7A"/>
    <w:rsid w:val="2C422613"/>
    <w:rsid w:val="2C4F1DBA"/>
    <w:rsid w:val="2C555668"/>
    <w:rsid w:val="2C556A22"/>
    <w:rsid w:val="2C5814E1"/>
    <w:rsid w:val="2C5A184F"/>
    <w:rsid w:val="2C5B48D2"/>
    <w:rsid w:val="2C617019"/>
    <w:rsid w:val="2C8129BD"/>
    <w:rsid w:val="2C8F21A8"/>
    <w:rsid w:val="2C964911"/>
    <w:rsid w:val="2CA53C2C"/>
    <w:rsid w:val="2CA77B0D"/>
    <w:rsid w:val="2CC313A6"/>
    <w:rsid w:val="2CC62BF0"/>
    <w:rsid w:val="2CD502A8"/>
    <w:rsid w:val="2CD62327"/>
    <w:rsid w:val="2CD755B9"/>
    <w:rsid w:val="2CE31316"/>
    <w:rsid w:val="2CEC1C9C"/>
    <w:rsid w:val="2CED1A9C"/>
    <w:rsid w:val="2CF256A1"/>
    <w:rsid w:val="2CF85EE1"/>
    <w:rsid w:val="2CF932B7"/>
    <w:rsid w:val="2CFB4C9B"/>
    <w:rsid w:val="2D08462A"/>
    <w:rsid w:val="2D1C3DBA"/>
    <w:rsid w:val="2D224FAE"/>
    <w:rsid w:val="2D2C09F8"/>
    <w:rsid w:val="2D360F3D"/>
    <w:rsid w:val="2D375B4D"/>
    <w:rsid w:val="2D4C6C60"/>
    <w:rsid w:val="2D4F1327"/>
    <w:rsid w:val="2D556CDE"/>
    <w:rsid w:val="2D7904BE"/>
    <w:rsid w:val="2D795130"/>
    <w:rsid w:val="2D7A729B"/>
    <w:rsid w:val="2D7C1F22"/>
    <w:rsid w:val="2D7C5412"/>
    <w:rsid w:val="2D871F3E"/>
    <w:rsid w:val="2D924387"/>
    <w:rsid w:val="2DBB0140"/>
    <w:rsid w:val="2DBD11C5"/>
    <w:rsid w:val="2DD256D2"/>
    <w:rsid w:val="2DDD1F38"/>
    <w:rsid w:val="2DDD35B9"/>
    <w:rsid w:val="2DE64FAD"/>
    <w:rsid w:val="2DF85941"/>
    <w:rsid w:val="2DFA7ACB"/>
    <w:rsid w:val="2E0E05D1"/>
    <w:rsid w:val="2E223DB9"/>
    <w:rsid w:val="2E3823CF"/>
    <w:rsid w:val="2E3E356E"/>
    <w:rsid w:val="2E420DC0"/>
    <w:rsid w:val="2E471EF4"/>
    <w:rsid w:val="2E4A6150"/>
    <w:rsid w:val="2E515361"/>
    <w:rsid w:val="2E624066"/>
    <w:rsid w:val="2E652EF8"/>
    <w:rsid w:val="2E782484"/>
    <w:rsid w:val="2E79373F"/>
    <w:rsid w:val="2E7E6C01"/>
    <w:rsid w:val="2E853E5D"/>
    <w:rsid w:val="2E926D51"/>
    <w:rsid w:val="2EAF50DA"/>
    <w:rsid w:val="2EBE1FBE"/>
    <w:rsid w:val="2ED40768"/>
    <w:rsid w:val="2ED56170"/>
    <w:rsid w:val="2EDC73BA"/>
    <w:rsid w:val="2EF1710E"/>
    <w:rsid w:val="2EF47C88"/>
    <w:rsid w:val="2EFE0246"/>
    <w:rsid w:val="2F06276F"/>
    <w:rsid w:val="2F0A0C3A"/>
    <w:rsid w:val="2F0B130C"/>
    <w:rsid w:val="2F344F78"/>
    <w:rsid w:val="2F3E0504"/>
    <w:rsid w:val="2F45562F"/>
    <w:rsid w:val="2F51085E"/>
    <w:rsid w:val="2F66359E"/>
    <w:rsid w:val="2F79072E"/>
    <w:rsid w:val="2F7964B4"/>
    <w:rsid w:val="2F8975F1"/>
    <w:rsid w:val="2F8C7840"/>
    <w:rsid w:val="2F9B4BD4"/>
    <w:rsid w:val="2F9E4191"/>
    <w:rsid w:val="2FAB0637"/>
    <w:rsid w:val="2FAC30D8"/>
    <w:rsid w:val="2FB91931"/>
    <w:rsid w:val="2FEC23CD"/>
    <w:rsid w:val="2FEE3006"/>
    <w:rsid w:val="2FFF36C8"/>
    <w:rsid w:val="300F14BD"/>
    <w:rsid w:val="30250293"/>
    <w:rsid w:val="3027208B"/>
    <w:rsid w:val="30274161"/>
    <w:rsid w:val="302A70CF"/>
    <w:rsid w:val="30405CB4"/>
    <w:rsid w:val="304857B8"/>
    <w:rsid w:val="304A4604"/>
    <w:rsid w:val="30564195"/>
    <w:rsid w:val="3065189D"/>
    <w:rsid w:val="306A7E55"/>
    <w:rsid w:val="306C6C3B"/>
    <w:rsid w:val="3071301A"/>
    <w:rsid w:val="30771FDF"/>
    <w:rsid w:val="30786FB0"/>
    <w:rsid w:val="30793706"/>
    <w:rsid w:val="307B2671"/>
    <w:rsid w:val="3086690C"/>
    <w:rsid w:val="30967E95"/>
    <w:rsid w:val="309A1A1B"/>
    <w:rsid w:val="309C608C"/>
    <w:rsid w:val="30A41066"/>
    <w:rsid w:val="30A67B1D"/>
    <w:rsid w:val="30B20F2D"/>
    <w:rsid w:val="30BD22F8"/>
    <w:rsid w:val="30BE2954"/>
    <w:rsid w:val="30D44DE4"/>
    <w:rsid w:val="30D44F7B"/>
    <w:rsid w:val="30EA6902"/>
    <w:rsid w:val="30F11257"/>
    <w:rsid w:val="31007CC2"/>
    <w:rsid w:val="31020DD9"/>
    <w:rsid w:val="31077821"/>
    <w:rsid w:val="311B24AB"/>
    <w:rsid w:val="311C0FA5"/>
    <w:rsid w:val="31214E90"/>
    <w:rsid w:val="312E415C"/>
    <w:rsid w:val="31307046"/>
    <w:rsid w:val="31365111"/>
    <w:rsid w:val="31545448"/>
    <w:rsid w:val="315945D1"/>
    <w:rsid w:val="316311C9"/>
    <w:rsid w:val="3166140D"/>
    <w:rsid w:val="316A7DB8"/>
    <w:rsid w:val="31742D60"/>
    <w:rsid w:val="31744C7A"/>
    <w:rsid w:val="317B0B0C"/>
    <w:rsid w:val="31802208"/>
    <w:rsid w:val="318806C7"/>
    <w:rsid w:val="31916304"/>
    <w:rsid w:val="31AA340D"/>
    <w:rsid w:val="31AD61DA"/>
    <w:rsid w:val="31B5543C"/>
    <w:rsid w:val="31BB26F3"/>
    <w:rsid w:val="31D04576"/>
    <w:rsid w:val="31D313E2"/>
    <w:rsid w:val="31DE13AA"/>
    <w:rsid w:val="31E662A9"/>
    <w:rsid w:val="31F362A8"/>
    <w:rsid w:val="31F82DFC"/>
    <w:rsid w:val="320354F3"/>
    <w:rsid w:val="320F4EF6"/>
    <w:rsid w:val="321321E9"/>
    <w:rsid w:val="32134E1E"/>
    <w:rsid w:val="321A5439"/>
    <w:rsid w:val="322000E1"/>
    <w:rsid w:val="322A6ECB"/>
    <w:rsid w:val="32306FAC"/>
    <w:rsid w:val="32327857"/>
    <w:rsid w:val="32392BD2"/>
    <w:rsid w:val="323933CA"/>
    <w:rsid w:val="323D5EBE"/>
    <w:rsid w:val="32415349"/>
    <w:rsid w:val="32440A3C"/>
    <w:rsid w:val="324B6A6B"/>
    <w:rsid w:val="32652890"/>
    <w:rsid w:val="327442C3"/>
    <w:rsid w:val="329570EF"/>
    <w:rsid w:val="32966472"/>
    <w:rsid w:val="32A04E50"/>
    <w:rsid w:val="32A6145D"/>
    <w:rsid w:val="32C74EFC"/>
    <w:rsid w:val="32D348F7"/>
    <w:rsid w:val="32D46AFC"/>
    <w:rsid w:val="32D676D3"/>
    <w:rsid w:val="32D83F25"/>
    <w:rsid w:val="32DB0444"/>
    <w:rsid w:val="32DD4FAB"/>
    <w:rsid w:val="32E0684A"/>
    <w:rsid w:val="32E22470"/>
    <w:rsid w:val="32EB4C34"/>
    <w:rsid w:val="32F44E1E"/>
    <w:rsid w:val="32F9374F"/>
    <w:rsid w:val="33081B69"/>
    <w:rsid w:val="332F22CA"/>
    <w:rsid w:val="33306491"/>
    <w:rsid w:val="333746BC"/>
    <w:rsid w:val="333E160B"/>
    <w:rsid w:val="334113B5"/>
    <w:rsid w:val="334353E0"/>
    <w:rsid w:val="33500B6F"/>
    <w:rsid w:val="33582532"/>
    <w:rsid w:val="335B2A29"/>
    <w:rsid w:val="33626EF3"/>
    <w:rsid w:val="33777345"/>
    <w:rsid w:val="33782ED9"/>
    <w:rsid w:val="337B546F"/>
    <w:rsid w:val="337B71E5"/>
    <w:rsid w:val="33805194"/>
    <w:rsid w:val="338E17AB"/>
    <w:rsid w:val="33992BD7"/>
    <w:rsid w:val="339A2D40"/>
    <w:rsid w:val="33A45B7B"/>
    <w:rsid w:val="33B520C1"/>
    <w:rsid w:val="33B86C39"/>
    <w:rsid w:val="33BD0C13"/>
    <w:rsid w:val="33BF3FF4"/>
    <w:rsid w:val="33C11226"/>
    <w:rsid w:val="33C90712"/>
    <w:rsid w:val="33D236FC"/>
    <w:rsid w:val="33D546C4"/>
    <w:rsid w:val="33E06A55"/>
    <w:rsid w:val="33E171D4"/>
    <w:rsid w:val="33F13801"/>
    <w:rsid w:val="33F81753"/>
    <w:rsid w:val="341D1528"/>
    <w:rsid w:val="3421360C"/>
    <w:rsid w:val="34251E33"/>
    <w:rsid w:val="342D56EF"/>
    <w:rsid w:val="343964BA"/>
    <w:rsid w:val="34501331"/>
    <w:rsid w:val="345D4E39"/>
    <w:rsid w:val="34611EE7"/>
    <w:rsid w:val="346F3E6C"/>
    <w:rsid w:val="34771AEF"/>
    <w:rsid w:val="34850A8D"/>
    <w:rsid w:val="3493174E"/>
    <w:rsid w:val="349C00AC"/>
    <w:rsid w:val="34A45ECD"/>
    <w:rsid w:val="34AA58E3"/>
    <w:rsid w:val="34B54D85"/>
    <w:rsid w:val="34B570E3"/>
    <w:rsid w:val="34CA2290"/>
    <w:rsid w:val="34D13ADF"/>
    <w:rsid w:val="34DC0A06"/>
    <w:rsid w:val="34E42621"/>
    <w:rsid w:val="34E6167F"/>
    <w:rsid w:val="34EC3B2C"/>
    <w:rsid w:val="34F71629"/>
    <w:rsid w:val="34F81CF2"/>
    <w:rsid w:val="34FF4520"/>
    <w:rsid w:val="3504046E"/>
    <w:rsid w:val="3508702D"/>
    <w:rsid w:val="350A0369"/>
    <w:rsid w:val="351A5213"/>
    <w:rsid w:val="351E214F"/>
    <w:rsid w:val="35203E7D"/>
    <w:rsid w:val="35290853"/>
    <w:rsid w:val="352A4EFD"/>
    <w:rsid w:val="353B0A96"/>
    <w:rsid w:val="353D7E8B"/>
    <w:rsid w:val="3545060A"/>
    <w:rsid w:val="354D0D5D"/>
    <w:rsid w:val="355673F7"/>
    <w:rsid w:val="355B507D"/>
    <w:rsid w:val="356418E9"/>
    <w:rsid w:val="3564417B"/>
    <w:rsid w:val="356A01BC"/>
    <w:rsid w:val="35721579"/>
    <w:rsid w:val="359D31C4"/>
    <w:rsid w:val="35A3102E"/>
    <w:rsid w:val="35A336F6"/>
    <w:rsid w:val="35A870BC"/>
    <w:rsid w:val="35B00755"/>
    <w:rsid w:val="35B518F9"/>
    <w:rsid w:val="35B72215"/>
    <w:rsid w:val="35BF3E20"/>
    <w:rsid w:val="35BF5322"/>
    <w:rsid w:val="35C54581"/>
    <w:rsid w:val="35D02AB9"/>
    <w:rsid w:val="35E6162B"/>
    <w:rsid w:val="35EA6079"/>
    <w:rsid w:val="35F45D6B"/>
    <w:rsid w:val="35F50D83"/>
    <w:rsid w:val="35F73D96"/>
    <w:rsid w:val="36003C87"/>
    <w:rsid w:val="36093972"/>
    <w:rsid w:val="36100FF9"/>
    <w:rsid w:val="3615482B"/>
    <w:rsid w:val="362C0663"/>
    <w:rsid w:val="363458C6"/>
    <w:rsid w:val="363518CF"/>
    <w:rsid w:val="363942CF"/>
    <w:rsid w:val="364D7E57"/>
    <w:rsid w:val="36500357"/>
    <w:rsid w:val="36545584"/>
    <w:rsid w:val="365E4C69"/>
    <w:rsid w:val="366906F0"/>
    <w:rsid w:val="36730D18"/>
    <w:rsid w:val="36757AD6"/>
    <w:rsid w:val="36803B9C"/>
    <w:rsid w:val="36835E43"/>
    <w:rsid w:val="368F4459"/>
    <w:rsid w:val="368F4C70"/>
    <w:rsid w:val="36A949FF"/>
    <w:rsid w:val="36AE216C"/>
    <w:rsid w:val="36B93BF6"/>
    <w:rsid w:val="36C00BE8"/>
    <w:rsid w:val="36D16C6F"/>
    <w:rsid w:val="36D761B3"/>
    <w:rsid w:val="36D77154"/>
    <w:rsid w:val="36DB57C5"/>
    <w:rsid w:val="36ED4351"/>
    <w:rsid w:val="37055599"/>
    <w:rsid w:val="370C6A1C"/>
    <w:rsid w:val="371B42BF"/>
    <w:rsid w:val="37227E74"/>
    <w:rsid w:val="37354696"/>
    <w:rsid w:val="373A0BAF"/>
    <w:rsid w:val="373C4697"/>
    <w:rsid w:val="373F6401"/>
    <w:rsid w:val="374520B2"/>
    <w:rsid w:val="37586C6F"/>
    <w:rsid w:val="376213B5"/>
    <w:rsid w:val="37635A12"/>
    <w:rsid w:val="37651108"/>
    <w:rsid w:val="376D3184"/>
    <w:rsid w:val="377346B4"/>
    <w:rsid w:val="3781650B"/>
    <w:rsid w:val="37817ADD"/>
    <w:rsid w:val="378B147A"/>
    <w:rsid w:val="378D1E89"/>
    <w:rsid w:val="379F2CAD"/>
    <w:rsid w:val="37B1320C"/>
    <w:rsid w:val="37BA5F2F"/>
    <w:rsid w:val="37D94113"/>
    <w:rsid w:val="37E453E9"/>
    <w:rsid w:val="37E509FD"/>
    <w:rsid w:val="37E75D57"/>
    <w:rsid w:val="37FA02C4"/>
    <w:rsid w:val="3805574D"/>
    <w:rsid w:val="38103770"/>
    <w:rsid w:val="38141C65"/>
    <w:rsid w:val="383039AE"/>
    <w:rsid w:val="38420EE0"/>
    <w:rsid w:val="3846129B"/>
    <w:rsid w:val="3847180D"/>
    <w:rsid w:val="384E13E2"/>
    <w:rsid w:val="385B3BFB"/>
    <w:rsid w:val="385F49F0"/>
    <w:rsid w:val="38607169"/>
    <w:rsid w:val="38623DA3"/>
    <w:rsid w:val="386A5533"/>
    <w:rsid w:val="3870306A"/>
    <w:rsid w:val="38897FA1"/>
    <w:rsid w:val="388A60D8"/>
    <w:rsid w:val="389E213C"/>
    <w:rsid w:val="38AB0138"/>
    <w:rsid w:val="38B27C13"/>
    <w:rsid w:val="38CC7166"/>
    <w:rsid w:val="38CD28BF"/>
    <w:rsid w:val="38E552BA"/>
    <w:rsid w:val="38F21EAD"/>
    <w:rsid w:val="38F57B3D"/>
    <w:rsid w:val="39052815"/>
    <w:rsid w:val="390F21E9"/>
    <w:rsid w:val="39123C47"/>
    <w:rsid w:val="391D02D0"/>
    <w:rsid w:val="392A1AC7"/>
    <w:rsid w:val="39335A2C"/>
    <w:rsid w:val="394211BF"/>
    <w:rsid w:val="394D033C"/>
    <w:rsid w:val="39681C5D"/>
    <w:rsid w:val="39683859"/>
    <w:rsid w:val="39715818"/>
    <w:rsid w:val="397B00A3"/>
    <w:rsid w:val="3988268E"/>
    <w:rsid w:val="398E5FEC"/>
    <w:rsid w:val="39A00FD1"/>
    <w:rsid w:val="39B647B5"/>
    <w:rsid w:val="39C04BA5"/>
    <w:rsid w:val="39C3580D"/>
    <w:rsid w:val="39D419BA"/>
    <w:rsid w:val="39E2397F"/>
    <w:rsid w:val="39E92488"/>
    <w:rsid w:val="39EE724B"/>
    <w:rsid w:val="39EE7395"/>
    <w:rsid w:val="39F95DA4"/>
    <w:rsid w:val="39FB03D7"/>
    <w:rsid w:val="3A0E1EEE"/>
    <w:rsid w:val="3A280EA3"/>
    <w:rsid w:val="3A281FA8"/>
    <w:rsid w:val="3A282795"/>
    <w:rsid w:val="3A483855"/>
    <w:rsid w:val="3A4D041D"/>
    <w:rsid w:val="3A5113C6"/>
    <w:rsid w:val="3A6A6CFA"/>
    <w:rsid w:val="3A7F5184"/>
    <w:rsid w:val="3A8D29DF"/>
    <w:rsid w:val="3A9B46EA"/>
    <w:rsid w:val="3A9D78E7"/>
    <w:rsid w:val="3AA33EB5"/>
    <w:rsid w:val="3ABA0C16"/>
    <w:rsid w:val="3AC123AD"/>
    <w:rsid w:val="3AE040BA"/>
    <w:rsid w:val="3B020C68"/>
    <w:rsid w:val="3B205AB9"/>
    <w:rsid w:val="3B2622B9"/>
    <w:rsid w:val="3B2F383C"/>
    <w:rsid w:val="3B2F6989"/>
    <w:rsid w:val="3B3340BC"/>
    <w:rsid w:val="3B4941FD"/>
    <w:rsid w:val="3B51031D"/>
    <w:rsid w:val="3B701008"/>
    <w:rsid w:val="3B8831D3"/>
    <w:rsid w:val="3B892DA3"/>
    <w:rsid w:val="3B984B0B"/>
    <w:rsid w:val="3B9C4C46"/>
    <w:rsid w:val="3BAA2FA0"/>
    <w:rsid w:val="3BB745C7"/>
    <w:rsid w:val="3BCD12FC"/>
    <w:rsid w:val="3BD44F8A"/>
    <w:rsid w:val="3BDE6951"/>
    <w:rsid w:val="3BE86DBC"/>
    <w:rsid w:val="3BE91FF0"/>
    <w:rsid w:val="3BE943AF"/>
    <w:rsid w:val="3BFB2745"/>
    <w:rsid w:val="3BFD6348"/>
    <w:rsid w:val="3C0125A7"/>
    <w:rsid w:val="3C0864F6"/>
    <w:rsid w:val="3C0F455C"/>
    <w:rsid w:val="3C3A1DA6"/>
    <w:rsid w:val="3C4867C8"/>
    <w:rsid w:val="3C4C5C7F"/>
    <w:rsid w:val="3C550525"/>
    <w:rsid w:val="3C5542CA"/>
    <w:rsid w:val="3C562A45"/>
    <w:rsid w:val="3C59732A"/>
    <w:rsid w:val="3C5B4F67"/>
    <w:rsid w:val="3C5E6DC9"/>
    <w:rsid w:val="3C5E7C80"/>
    <w:rsid w:val="3C682F32"/>
    <w:rsid w:val="3C6F5324"/>
    <w:rsid w:val="3C7308EA"/>
    <w:rsid w:val="3C747D17"/>
    <w:rsid w:val="3C77021F"/>
    <w:rsid w:val="3C7C2278"/>
    <w:rsid w:val="3C7D65C5"/>
    <w:rsid w:val="3C833E2E"/>
    <w:rsid w:val="3C8A37C0"/>
    <w:rsid w:val="3C8A6140"/>
    <w:rsid w:val="3C903002"/>
    <w:rsid w:val="3C934C3D"/>
    <w:rsid w:val="3CA14A37"/>
    <w:rsid w:val="3CA9072A"/>
    <w:rsid w:val="3CB4385B"/>
    <w:rsid w:val="3CBD5100"/>
    <w:rsid w:val="3CBE5E4E"/>
    <w:rsid w:val="3CCC404F"/>
    <w:rsid w:val="3CCC40C0"/>
    <w:rsid w:val="3CCD66B8"/>
    <w:rsid w:val="3CD967E3"/>
    <w:rsid w:val="3CDB0C2D"/>
    <w:rsid w:val="3CEB2520"/>
    <w:rsid w:val="3D012356"/>
    <w:rsid w:val="3D2E3A72"/>
    <w:rsid w:val="3D3762C0"/>
    <w:rsid w:val="3D4242F2"/>
    <w:rsid w:val="3D560E96"/>
    <w:rsid w:val="3D610EFB"/>
    <w:rsid w:val="3D6321DC"/>
    <w:rsid w:val="3D642AE8"/>
    <w:rsid w:val="3D6C082B"/>
    <w:rsid w:val="3D700561"/>
    <w:rsid w:val="3D7319F5"/>
    <w:rsid w:val="3D735299"/>
    <w:rsid w:val="3D8250CD"/>
    <w:rsid w:val="3D8643BC"/>
    <w:rsid w:val="3D8E188C"/>
    <w:rsid w:val="3D904FC5"/>
    <w:rsid w:val="3D926298"/>
    <w:rsid w:val="3D961C8A"/>
    <w:rsid w:val="3D963499"/>
    <w:rsid w:val="3D972032"/>
    <w:rsid w:val="3DB64018"/>
    <w:rsid w:val="3DB777C0"/>
    <w:rsid w:val="3DB91234"/>
    <w:rsid w:val="3DC739B6"/>
    <w:rsid w:val="3DCA4CCF"/>
    <w:rsid w:val="3DD46A02"/>
    <w:rsid w:val="3DD5344F"/>
    <w:rsid w:val="3DDC3FD7"/>
    <w:rsid w:val="3DEE69D9"/>
    <w:rsid w:val="3DF0288A"/>
    <w:rsid w:val="3DF54551"/>
    <w:rsid w:val="3DF60BE9"/>
    <w:rsid w:val="3DFB5AC0"/>
    <w:rsid w:val="3E03620E"/>
    <w:rsid w:val="3E131E3C"/>
    <w:rsid w:val="3E134F1E"/>
    <w:rsid w:val="3E174CFF"/>
    <w:rsid w:val="3E1833BA"/>
    <w:rsid w:val="3E1F05B7"/>
    <w:rsid w:val="3E445BB8"/>
    <w:rsid w:val="3E46434D"/>
    <w:rsid w:val="3E464451"/>
    <w:rsid w:val="3E737826"/>
    <w:rsid w:val="3E78066D"/>
    <w:rsid w:val="3E8310FD"/>
    <w:rsid w:val="3E9B38C1"/>
    <w:rsid w:val="3E9C2693"/>
    <w:rsid w:val="3EA07325"/>
    <w:rsid w:val="3EA47E20"/>
    <w:rsid w:val="3EB12FC0"/>
    <w:rsid w:val="3EB64322"/>
    <w:rsid w:val="3EC0781E"/>
    <w:rsid w:val="3EC44024"/>
    <w:rsid w:val="3EC67D52"/>
    <w:rsid w:val="3EDF69BE"/>
    <w:rsid w:val="3EDF7E3B"/>
    <w:rsid w:val="3EE50113"/>
    <w:rsid w:val="3EE51879"/>
    <w:rsid w:val="3EE520F2"/>
    <w:rsid w:val="3EEC681E"/>
    <w:rsid w:val="3EEF3469"/>
    <w:rsid w:val="3EF60554"/>
    <w:rsid w:val="3EF618CF"/>
    <w:rsid w:val="3F0C4FC5"/>
    <w:rsid w:val="3F0E18C6"/>
    <w:rsid w:val="3F163A51"/>
    <w:rsid w:val="3F20552C"/>
    <w:rsid w:val="3F3F3DD3"/>
    <w:rsid w:val="3F512627"/>
    <w:rsid w:val="3F59314C"/>
    <w:rsid w:val="3F595815"/>
    <w:rsid w:val="3F5D772F"/>
    <w:rsid w:val="3F6637AE"/>
    <w:rsid w:val="3F6E584A"/>
    <w:rsid w:val="3F7D3294"/>
    <w:rsid w:val="3F830C89"/>
    <w:rsid w:val="3F8A241D"/>
    <w:rsid w:val="3F9243FB"/>
    <w:rsid w:val="3FA10907"/>
    <w:rsid w:val="3FA523A0"/>
    <w:rsid w:val="3FA53886"/>
    <w:rsid w:val="3FB3194B"/>
    <w:rsid w:val="3FB93EDC"/>
    <w:rsid w:val="3FBC4D74"/>
    <w:rsid w:val="3FBE62C0"/>
    <w:rsid w:val="3FBF0097"/>
    <w:rsid w:val="3FCD1796"/>
    <w:rsid w:val="3FD15259"/>
    <w:rsid w:val="3FD31105"/>
    <w:rsid w:val="3FD5111E"/>
    <w:rsid w:val="3FDF4418"/>
    <w:rsid w:val="3FF208FC"/>
    <w:rsid w:val="40452826"/>
    <w:rsid w:val="404F2CBA"/>
    <w:rsid w:val="40573E98"/>
    <w:rsid w:val="40586265"/>
    <w:rsid w:val="405B7082"/>
    <w:rsid w:val="407803F7"/>
    <w:rsid w:val="407C3CC9"/>
    <w:rsid w:val="408D5EC5"/>
    <w:rsid w:val="40911719"/>
    <w:rsid w:val="40A30994"/>
    <w:rsid w:val="40A47144"/>
    <w:rsid w:val="40AA0BC3"/>
    <w:rsid w:val="40CD225C"/>
    <w:rsid w:val="40D07EFD"/>
    <w:rsid w:val="40D60852"/>
    <w:rsid w:val="40D633CF"/>
    <w:rsid w:val="40DA369D"/>
    <w:rsid w:val="40F0234E"/>
    <w:rsid w:val="40F81032"/>
    <w:rsid w:val="40F93982"/>
    <w:rsid w:val="40F94132"/>
    <w:rsid w:val="40FB6EF9"/>
    <w:rsid w:val="40FC27B6"/>
    <w:rsid w:val="410F2B16"/>
    <w:rsid w:val="41116587"/>
    <w:rsid w:val="41175B2C"/>
    <w:rsid w:val="41232E99"/>
    <w:rsid w:val="412B48BC"/>
    <w:rsid w:val="41340ED6"/>
    <w:rsid w:val="41430C4B"/>
    <w:rsid w:val="41576EB0"/>
    <w:rsid w:val="416A2C5F"/>
    <w:rsid w:val="41741320"/>
    <w:rsid w:val="418D0773"/>
    <w:rsid w:val="4194259E"/>
    <w:rsid w:val="419A34F8"/>
    <w:rsid w:val="41A77C3A"/>
    <w:rsid w:val="41AA0709"/>
    <w:rsid w:val="41AA3312"/>
    <w:rsid w:val="41B75F5F"/>
    <w:rsid w:val="41B914A1"/>
    <w:rsid w:val="41BC7FEB"/>
    <w:rsid w:val="41C91090"/>
    <w:rsid w:val="41D2200F"/>
    <w:rsid w:val="41D52D88"/>
    <w:rsid w:val="41D77CAD"/>
    <w:rsid w:val="41D8558C"/>
    <w:rsid w:val="41D938DC"/>
    <w:rsid w:val="41DF2AEE"/>
    <w:rsid w:val="41E21FD5"/>
    <w:rsid w:val="41E24C8C"/>
    <w:rsid w:val="41E90AFB"/>
    <w:rsid w:val="41F228AF"/>
    <w:rsid w:val="41FE5539"/>
    <w:rsid w:val="41FF02A1"/>
    <w:rsid w:val="42000269"/>
    <w:rsid w:val="421118A3"/>
    <w:rsid w:val="422A593A"/>
    <w:rsid w:val="422B0D5E"/>
    <w:rsid w:val="42316A31"/>
    <w:rsid w:val="4244368A"/>
    <w:rsid w:val="424528BC"/>
    <w:rsid w:val="425228BE"/>
    <w:rsid w:val="42547044"/>
    <w:rsid w:val="42562684"/>
    <w:rsid w:val="42755DF6"/>
    <w:rsid w:val="427D224A"/>
    <w:rsid w:val="428B5B04"/>
    <w:rsid w:val="428D14DC"/>
    <w:rsid w:val="428D6525"/>
    <w:rsid w:val="42903DE8"/>
    <w:rsid w:val="429F77F8"/>
    <w:rsid w:val="42A4106B"/>
    <w:rsid w:val="42AE2786"/>
    <w:rsid w:val="42C27D1A"/>
    <w:rsid w:val="42CC3CFF"/>
    <w:rsid w:val="42E03B2A"/>
    <w:rsid w:val="42E50130"/>
    <w:rsid w:val="42EC3A72"/>
    <w:rsid w:val="42F26851"/>
    <w:rsid w:val="42FD3F77"/>
    <w:rsid w:val="43120557"/>
    <w:rsid w:val="431D7B20"/>
    <w:rsid w:val="432602A9"/>
    <w:rsid w:val="43261F7C"/>
    <w:rsid w:val="433246F1"/>
    <w:rsid w:val="43386F96"/>
    <w:rsid w:val="4340408B"/>
    <w:rsid w:val="43461685"/>
    <w:rsid w:val="43462F04"/>
    <w:rsid w:val="434E1309"/>
    <w:rsid w:val="435718EE"/>
    <w:rsid w:val="437620B3"/>
    <w:rsid w:val="43762FDE"/>
    <w:rsid w:val="439F2EF1"/>
    <w:rsid w:val="43B22CD3"/>
    <w:rsid w:val="43B6162D"/>
    <w:rsid w:val="43D71E97"/>
    <w:rsid w:val="43E57CCE"/>
    <w:rsid w:val="43F33221"/>
    <w:rsid w:val="43FC25D1"/>
    <w:rsid w:val="44015C46"/>
    <w:rsid w:val="440473D1"/>
    <w:rsid w:val="440B33B0"/>
    <w:rsid w:val="44172F95"/>
    <w:rsid w:val="443845B8"/>
    <w:rsid w:val="443E4DB1"/>
    <w:rsid w:val="44495C91"/>
    <w:rsid w:val="444B7611"/>
    <w:rsid w:val="4460008A"/>
    <w:rsid w:val="446B5898"/>
    <w:rsid w:val="447B43A6"/>
    <w:rsid w:val="44952357"/>
    <w:rsid w:val="449646E4"/>
    <w:rsid w:val="44B12986"/>
    <w:rsid w:val="44BD4A1D"/>
    <w:rsid w:val="44CA7FED"/>
    <w:rsid w:val="44D05706"/>
    <w:rsid w:val="44DA62E9"/>
    <w:rsid w:val="44E23F5A"/>
    <w:rsid w:val="44ED7DE3"/>
    <w:rsid w:val="44F231FB"/>
    <w:rsid w:val="44F63403"/>
    <w:rsid w:val="450C51CF"/>
    <w:rsid w:val="451245C2"/>
    <w:rsid w:val="45135DA7"/>
    <w:rsid w:val="4523341D"/>
    <w:rsid w:val="45243544"/>
    <w:rsid w:val="45335B43"/>
    <w:rsid w:val="453D572E"/>
    <w:rsid w:val="45551E74"/>
    <w:rsid w:val="455F553B"/>
    <w:rsid w:val="45691E92"/>
    <w:rsid w:val="456C6235"/>
    <w:rsid w:val="456D488D"/>
    <w:rsid w:val="45706FD1"/>
    <w:rsid w:val="4573034B"/>
    <w:rsid w:val="45752330"/>
    <w:rsid w:val="457D6F22"/>
    <w:rsid w:val="458105D9"/>
    <w:rsid w:val="458A3433"/>
    <w:rsid w:val="459414B6"/>
    <w:rsid w:val="459447DF"/>
    <w:rsid w:val="4598456F"/>
    <w:rsid w:val="45A67705"/>
    <w:rsid w:val="45B503B8"/>
    <w:rsid w:val="45C82592"/>
    <w:rsid w:val="45D90FC2"/>
    <w:rsid w:val="45E0275B"/>
    <w:rsid w:val="45F9568B"/>
    <w:rsid w:val="45FA225D"/>
    <w:rsid w:val="46164106"/>
    <w:rsid w:val="461D02BF"/>
    <w:rsid w:val="461D0747"/>
    <w:rsid w:val="462525D0"/>
    <w:rsid w:val="46314540"/>
    <w:rsid w:val="463160D4"/>
    <w:rsid w:val="464A47A6"/>
    <w:rsid w:val="46523A65"/>
    <w:rsid w:val="4653300C"/>
    <w:rsid w:val="465D49EF"/>
    <w:rsid w:val="466102F9"/>
    <w:rsid w:val="46646306"/>
    <w:rsid w:val="4667340A"/>
    <w:rsid w:val="46831F61"/>
    <w:rsid w:val="468B1DCF"/>
    <w:rsid w:val="46A43B40"/>
    <w:rsid w:val="46AA032C"/>
    <w:rsid w:val="46CA451A"/>
    <w:rsid w:val="46DC71C0"/>
    <w:rsid w:val="46E35481"/>
    <w:rsid w:val="46F26E20"/>
    <w:rsid w:val="46FE0DE3"/>
    <w:rsid w:val="470230F0"/>
    <w:rsid w:val="47132280"/>
    <w:rsid w:val="472A46F5"/>
    <w:rsid w:val="472B2A86"/>
    <w:rsid w:val="473122B1"/>
    <w:rsid w:val="473D6882"/>
    <w:rsid w:val="47401179"/>
    <w:rsid w:val="47431803"/>
    <w:rsid w:val="474B23EE"/>
    <w:rsid w:val="474C27C4"/>
    <w:rsid w:val="47511614"/>
    <w:rsid w:val="475C4408"/>
    <w:rsid w:val="475C77BF"/>
    <w:rsid w:val="47682142"/>
    <w:rsid w:val="47771CA2"/>
    <w:rsid w:val="478511C1"/>
    <w:rsid w:val="47A42CB5"/>
    <w:rsid w:val="47C45F9E"/>
    <w:rsid w:val="47CB09AB"/>
    <w:rsid w:val="47D430B3"/>
    <w:rsid w:val="47DA5B36"/>
    <w:rsid w:val="47E97EFD"/>
    <w:rsid w:val="47F170D7"/>
    <w:rsid w:val="48213B85"/>
    <w:rsid w:val="482F2316"/>
    <w:rsid w:val="482F4EC3"/>
    <w:rsid w:val="48436F81"/>
    <w:rsid w:val="48495DB4"/>
    <w:rsid w:val="48496F13"/>
    <w:rsid w:val="484F4856"/>
    <w:rsid w:val="485204DE"/>
    <w:rsid w:val="48573A68"/>
    <w:rsid w:val="485821B6"/>
    <w:rsid w:val="487C7647"/>
    <w:rsid w:val="48837EBC"/>
    <w:rsid w:val="488A1283"/>
    <w:rsid w:val="48902106"/>
    <w:rsid w:val="48AB711A"/>
    <w:rsid w:val="48C02616"/>
    <w:rsid w:val="48C25C7A"/>
    <w:rsid w:val="48C30B99"/>
    <w:rsid w:val="48D237F8"/>
    <w:rsid w:val="48D922E1"/>
    <w:rsid w:val="48E629B4"/>
    <w:rsid w:val="48FE61D2"/>
    <w:rsid w:val="49051CC8"/>
    <w:rsid w:val="490B4F8F"/>
    <w:rsid w:val="4928628E"/>
    <w:rsid w:val="492A1AD8"/>
    <w:rsid w:val="492D1A57"/>
    <w:rsid w:val="49345EFB"/>
    <w:rsid w:val="493C77E6"/>
    <w:rsid w:val="496467D7"/>
    <w:rsid w:val="49690EEF"/>
    <w:rsid w:val="4975735F"/>
    <w:rsid w:val="497C7F90"/>
    <w:rsid w:val="497D4DEF"/>
    <w:rsid w:val="497E668F"/>
    <w:rsid w:val="498677FE"/>
    <w:rsid w:val="499515AE"/>
    <w:rsid w:val="49B8031D"/>
    <w:rsid w:val="49B948B6"/>
    <w:rsid w:val="49C8436B"/>
    <w:rsid w:val="49CE6957"/>
    <w:rsid w:val="49DD2366"/>
    <w:rsid w:val="49E81117"/>
    <w:rsid w:val="49E8450A"/>
    <w:rsid w:val="4A0477F4"/>
    <w:rsid w:val="4A101181"/>
    <w:rsid w:val="4A115517"/>
    <w:rsid w:val="4A183FB0"/>
    <w:rsid w:val="4A213DBA"/>
    <w:rsid w:val="4A214E1C"/>
    <w:rsid w:val="4A255751"/>
    <w:rsid w:val="4A2C76FF"/>
    <w:rsid w:val="4A320A97"/>
    <w:rsid w:val="4A473E2E"/>
    <w:rsid w:val="4A4A3C81"/>
    <w:rsid w:val="4A52115F"/>
    <w:rsid w:val="4A5357C3"/>
    <w:rsid w:val="4A5E0489"/>
    <w:rsid w:val="4A5F12FB"/>
    <w:rsid w:val="4A602146"/>
    <w:rsid w:val="4A651431"/>
    <w:rsid w:val="4A882FD7"/>
    <w:rsid w:val="4A97470E"/>
    <w:rsid w:val="4AA430CB"/>
    <w:rsid w:val="4AB0259D"/>
    <w:rsid w:val="4AB168B0"/>
    <w:rsid w:val="4AB92704"/>
    <w:rsid w:val="4ACD4DB6"/>
    <w:rsid w:val="4AD36F23"/>
    <w:rsid w:val="4ADE64F5"/>
    <w:rsid w:val="4AE36BA7"/>
    <w:rsid w:val="4AE7027D"/>
    <w:rsid w:val="4AF01B0B"/>
    <w:rsid w:val="4AF9691C"/>
    <w:rsid w:val="4AF978B1"/>
    <w:rsid w:val="4B036FBB"/>
    <w:rsid w:val="4B0C0245"/>
    <w:rsid w:val="4B185EB0"/>
    <w:rsid w:val="4B193EA8"/>
    <w:rsid w:val="4B1F1B81"/>
    <w:rsid w:val="4B225148"/>
    <w:rsid w:val="4B311533"/>
    <w:rsid w:val="4B356C91"/>
    <w:rsid w:val="4B4321F8"/>
    <w:rsid w:val="4B450DAB"/>
    <w:rsid w:val="4B452397"/>
    <w:rsid w:val="4B572ECF"/>
    <w:rsid w:val="4B5A2ED9"/>
    <w:rsid w:val="4B5F322A"/>
    <w:rsid w:val="4B734A38"/>
    <w:rsid w:val="4B774162"/>
    <w:rsid w:val="4B7818BD"/>
    <w:rsid w:val="4B7B03AC"/>
    <w:rsid w:val="4B8207F8"/>
    <w:rsid w:val="4B894611"/>
    <w:rsid w:val="4B945AA0"/>
    <w:rsid w:val="4B975119"/>
    <w:rsid w:val="4BA02939"/>
    <w:rsid w:val="4BA51119"/>
    <w:rsid w:val="4BA65345"/>
    <w:rsid w:val="4BB74194"/>
    <w:rsid w:val="4BB94CBD"/>
    <w:rsid w:val="4BBF42FB"/>
    <w:rsid w:val="4BC533C7"/>
    <w:rsid w:val="4BCA7C19"/>
    <w:rsid w:val="4BCE772F"/>
    <w:rsid w:val="4BDC0CA5"/>
    <w:rsid w:val="4BE71338"/>
    <w:rsid w:val="4BEA3C84"/>
    <w:rsid w:val="4BF26BF6"/>
    <w:rsid w:val="4C001FDF"/>
    <w:rsid w:val="4C10761B"/>
    <w:rsid w:val="4C1B76C0"/>
    <w:rsid w:val="4C1F3549"/>
    <w:rsid w:val="4C2331B1"/>
    <w:rsid w:val="4C235CF6"/>
    <w:rsid w:val="4C2A0E0A"/>
    <w:rsid w:val="4C2B5184"/>
    <w:rsid w:val="4C2D30F1"/>
    <w:rsid w:val="4C2E16E0"/>
    <w:rsid w:val="4C3821E1"/>
    <w:rsid w:val="4C42389D"/>
    <w:rsid w:val="4C472B28"/>
    <w:rsid w:val="4C5764A9"/>
    <w:rsid w:val="4C5B0FC3"/>
    <w:rsid w:val="4C6E6C3F"/>
    <w:rsid w:val="4C710266"/>
    <w:rsid w:val="4C713CC4"/>
    <w:rsid w:val="4C7A14AF"/>
    <w:rsid w:val="4C802924"/>
    <w:rsid w:val="4C870E6D"/>
    <w:rsid w:val="4C966AF7"/>
    <w:rsid w:val="4CA53EB6"/>
    <w:rsid w:val="4CB51DD8"/>
    <w:rsid w:val="4CBA4667"/>
    <w:rsid w:val="4CBE127D"/>
    <w:rsid w:val="4CC85945"/>
    <w:rsid w:val="4CD07C03"/>
    <w:rsid w:val="4CE002C7"/>
    <w:rsid w:val="4CE86FF5"/>
    <w:rsid w:val="4CF14421"/>
    <w:rsid w:val="4CFD3283"/>
    <w:rsid w:val="4CFE3EC7"/>
    <w:rsid w:val="4D0A398E"/>
    <w:rsid w:val="4D0E0E7C"/>
    <w:rsid w:val="4D265A75"/>
    <w:rsid w:val="4D3C7F8E"/>
    <w:rsid w:val="4D515894"/>
    <w:rsid w:val="4D661BB8"/>
    <w:rsid w:val="4D692D53"/>
    <w:rsid w:val="4D6A43F1"/>
    <w:rsid w:val="4D6C26C1"/>
    <w:rsid w:val="4D752558"/>
    <w:rsid w:val="4D7A3BAA"/>
    <w:rsid w:val="4D7C2D87"/>
    <w:rsid w:val="4D7E4134"/>
    <w:rsid w:val="4D806304"/>
    <w:rsid w:val="4D811A15"/>
    <w:rsid w:val="4D811F9A"/>
    <w:rsid w:val="4D853BA1"/>
    <w:rsid w:val="4D885885"/>
    <w:rsid w:val="4D893B86"/>
    <w:rsid w:val="4D9633A8"/>
    <w:rsid w:val="4D9C1A5F"/>
    <w:rsid w:val="4DA104E1"/>
    <w:rsid w:val="4DA64B2C"/>
    <w:rsid w:val="4DAE23B4"/>
    <w:rsid w:val="4DC471D4"/>
    <w:rsid w:val="4DCB3F26"/>
    <w:rsid w:val="4DCD5041"/>
    <w:rsid w:val="4DCF1A2A"/>
    <w:rsid w:val="4DDA06F9"/>
    <w:rsid w:val="4DE17841"/>
    <w:rsid w:val="4DE430ED"/>
    <w:rsid w:val="4DEC63D9"/>
    <w:rsid w:val="4E024BFE"/>
    <w:rsid w:val="4E06476C"/>
    <w:rsid w:val="4E0B1AA7"/>
    <w:rsid w:val="4E0C39CC"/>
    <w:rsid w:val="4E152F29"/>
    <w:rsid w:val="4E1E4BF8"/>
    <w:rsid w:val="4E227E59"/>
    <w:rsid w:val="4E27309E"/>
    <w:rsid w:val="4E3A2E7C"/>
    <w:rsid w:val="4E3A3553"/>
    <w:rsid w:val="4E3F16BA"/>
    <w:rsid w:val="4E425F20"/>
    <w:rsid w:val="4E4564FC"/>
    <w:rsid w:val="4E502A74"/>
    <w:rsid w:val="4E51648A"/>
    <w:rsid w:val="4E561C64"/>
    <w:rsid w:val="4E565FC2"/>
    <w:rsid w:val="4E5D237D"/>
    <w:rsid w:val="4E5D4C20"/>
    <w:rsid w:val="4E6C0DB0"/>
    <w:rsid w:val="4E7279EC"/>
    <w:rsid w:val="4E7500D5"/>
    <w:rsid w:val="4E754D41"/>
    <w:rsid w:val="4E761165"/>
    <w:rsid w:val="4E767241"/>
    <w:rsid w:val="4E775C99"/>
    <w:rsid w:val="4E8A3716"/>
    <w:rsid w:val="4E901A49"/>
    <w:rsid w:val="4E903E0B"/>
    <w:rsid w:val="4EA41EF2"/>
    <w:rsid w:val="4EA77EBD"/>
    <w:rsid w:val="4EAB6514"/>
    <w:rsid w:val="4EB16F32"/>
    <w:rsid w:val="4EB53560"/>
    <w:rsid w:val="4EC362AB"/>
    <w:rsid w:val="4EE16643"/>
    <w:rsid w:val="4EE55C49"/>
    <w:rsid w:val="4EED4317"/>
    <w:rsid w:val="4EF030A3"/>
    <w:rsid w:val="4EFC4B08"/>
    <w:rsid w:val="4F070010"/>
    <w:rsid w:val="4F1154C9"/>
    <w:rsid w:val="4F13326B"/>
    <w:rsid w:val="4F161BCB"/>
    <w:rsid w:val="4F2C30EB"/>
    <w:rsid w:val="4F321CAC"/>
    <w:rsid w:val="4F350574"/>
    <w:rsid w:val="4F3B6489"/>
    <w:rsid w:val="4F4823F3"/>
    <w:rsid w:val="4F654204"/>
    <w:rsid w:val="4F6876F8"/>
    <w:rsid w:val="4F6C5C07"/>
    <w:rsid w:val="4F924711"/>
    <w:rsid w:val="4F9260E8"/>
    <w:rsid w:val="4F9E7E92"/>
    <w:rsid w:val="4FA71614"/>
    <w:rsid w:val="4FD67FA6"/>
    <w:rsid w:val="4FDC5699"/>
    <w:rsid w:val="4FDE2637"/>
    <w:rsid w:val="4FFC341A"/>
    <w:rsid w:val="50011529"/>
    <w:rsid w:val="50012247"/>
    <w:rsid w:val="50133C3D"/>
    <w:rsid w:val="50137485"/>
    <w:rsid w:val="50153E2B"/>
    <w:rsid w:val="502427F1"/>
    <w:rsid w:val="502915C2"/>
    <w:rsid w:val="50370F15"/>
    <w:rsid w:val="503E0265"/>
    <w:rsid w:val="503E602C"/>
    <w:rsid w:val="50455CC2"/>
    <w:rsid w:val="50565318"/>
    <w:rsid w:val="505C4016"/>
    <w:rsid w:val="50615016"/>
    <w:rsid w:val="506202FB"/>
    <w:rsid w:val="506F790E"/>
    <w:rsid w:val="507326B8"/>
    <w:rsid w:val="508D5F0D"/>
    <w:rsid w:val="50942DA9"/>
    <w:rsid w:val="50AF4DE8"/>
    <w:rsid w:val="50D515DF"/>
    <w:rsid w:val="50DA5AE3"/>
    <w:rsid w:val="50DD5AFE"/>
    <w:rsid w:val="50E756F6"/>
    <w:rsid w:val="50EF0619"/>
    <w:rsid w:val="50F44E7D"/>
    <w:rsid w:val="5112477F"/>
    <w:rsid w:val="51246A0A"/>
    <w:rsid w:val="512743FA"/>
    <w:rsid w:val="51342CFC"/>
    <w:rsid w:val="513473D9"/>
    <w:rsid w:val="513B12C4"/>
    <w:rsid w:val="513E1A40"/>
    <w:rsid w:val="51474050"/>
    <w:rsid w:val="516069E7"/>
    <w:rsid w:val="51657AB8"/>
    <w:rsid w:val="51864D34"/>
    <w:rsid w:val="518E5930"/>
    <w:rsid w:val="519339A8"/>
    <w:rsid w:val="519F26EF"/>
    <w:rsid w:val="51D74498"/>
    <w:rsid w:val="51E67959"/>
    <w:rsid w:val="51E72749"/>
    <w:rsid w:val="51F73FB5"/>
    <w:rsid w:val="51FE6C89"/>
    <w:rsid w:val="52027668"/>
    <w:rsid w:val="520627DB"/>
    <w:rsid w:val="520B3831"/>
    <w:rsid w:val="52107AFF"/>
    <w:rsid w:val="52134A30"/>
    <w:rsid w:val="521C4227"/>
    <w:rsid w:val="521D16AF"/>
    <w:rsid w:val="521D1A01"/>
    <w:rsid w:val="522A03DB"/>
    <w:rsid w:val="522E2CD6"/>
    <w:rsid w:val="523E6E53"/>
    <w:rsid w:val="52566AF1"/>
    <w:rsid w:val="525A3205"/>
    <w:rsid w:val="52637A21"/>
    <w:rsid w:val="526F7E3A"/>
    <w:rsid w:val="52765738"/>
    <w:rsid w:val="5277232E"/>
    <w:rsid w:val="52782411"/>
    <w:rsid w:val="527F384D"/>
    <w:rsid w:val="528769BF"/>
    <w:rsid w:val="5288688A"/>
    <w:rsid w:val="528D646E"/>
    <w:rsid w:val="52A55070"/>
    <w:rsid w:val="52A63C05"/>
    <w:rsid w:val="52AE51B0"/>
    <w:rsid w:val="52B02AB4"/>
    <w:rsid w:val="52B226B2"/>
    <w:rsid w:val="52CC0B18"/>
    <w:rsid w:val="52CD513F"/>
    <w:rsid w:val="52CF2FAE"/>
    <w:rsid w:val="52D234BE"/>
    <w:rsid w:val="52E06098"/>
    <w:rsid w:val="52E46A71"/>
    <w:rsid w:val="52F011C0"/>
    <w:rsid w:val="52F21F55"/>
    <w:rsid w:val="52FA117E"/>
    <w:rsid w:val="5313797D"/>
    <w:rsid w:val="53196736"/>
    <w:rsid w:val="531C1971"/>
    <w:rsid w:val="531D795E"/>
    <w:rsid w:val="5322681E"/>
    <w:rsid w:val="532B625A"/>
    <w:rsid w:val="532D093A"/>
    <w:rsid w:val="532D753B"/>
    <w:rsid w:val="53486F96"/>
    <w:rsid w:val="534B11C1"/>
    <w:rsid w:val="534F6B34"/>
    <w:rsid w:val="5351760F"/>
    <w:rsid w:val="53564C84"/>
    <w:rsid w:val="535953A3"/>
    <w:rsid w:val="535A1951"/>
    <w:rsid w:val="53675CFC"/>
    <w:rsid w:val="537747CA"/>
    <w:rsid w:val="53795B88"/>
    <w:rsid w:val="538679A3"/>
    <w:rsid w:val="538D01D1"/>
    <w:rsid w:val="53927759"/>
    <w:rsid w:val="53A51F68"/>
    <w:rsid w:val="53B3779D"/>
    <w:rsid w:val="53E0252E"/>
    <w:rsid w:val="53E17762"/>
    <w:rsid w:val="53E32294"/>
    <w:rsid w:val="53F64509"/>
    <w:rsid w:val="53FE5A2E"/>
    <w:rsid w:val="54013479"/>
    <w:rsid w:val="5407458C"/>
    <w:rsid w:val="54145807"/>
    <w:rsid w:val="54191B05"/>
    <w:rsid w:val="541971DA"/>
    <w:rsid w:val="541E5BC4"/>
    <w:rsid w:val="54207362"/>
    <w:rsid w:val="54212AF2"/>
    <w:rsid w:val="54367A1B"/>
    <w:rsid w:val="543E3380"/>
    <w:rsid w:val="54496AA1"/>
    <w:rsid w:val="54546BA5"/>
    <w:rsid w:val="54563636"/>
    <w:rsid w:val="545F26DD"/>
    <w:rsid w:val="546522AA"/>
    <w:rsid w:val="54653C3B"/>
    <w:rsid w:val="547C3827"/>
    <w:rsid w:val="547E3DDE"/>
    <w:rsid w:val="54806089"/>
    <w:rsid w:val="548311A6"/>
    <w:rsid w:val="54845AE7"/>
    <w:rsid w:val="548A1341"/>
    <w:rsid w:val="548D29A3"/>
    <w:rsid w:val="549159AB"/>
    <w:rsid w:val="549B0815"/>
    <w:rsid w:val="54B469D1"/>
    <w:rsid w:val="54B673C4"/>
    <w:rsid w:val="54BA18B4"/>
    <w:rsid w:val="54C761E7"/>
    <w:rsid w:val="54C9331B"/>
    <w:rsid w:val="54EB36C8"/>
    <w:rsid w:val="54F80629"/>
    <w:rsid w:val="54F979F4"/>
    <w:rsid w:val="550A218E"/>
    <w:rsid w:val="550B4AB7"/>
    <w:rsid w:val="550F55E9"/>
    <w:rsid w:val="5515784B"/>
    <w:rsid w:val="55195734"/>
    <w:rsid w:val="553559E8"/>
    <w:rsid w:val="553D0A0C"/>
    <w:rsid w:val="5542266E"/>
    <w:rsid w:val="554A5709"/>
    <w:rsid w:val="554E17AD"/>
    <w:rsid w:val="55543378"/>
    <w:rsid w:val="555D72E5"/>
    <w:rsid w:val="55642AFB"/>
    <w:rsid w:val="55674417"/>
    <w:rsid w:val="556E376D"/>
    <w:rsid w:val="55814466"/>
    <w:rsid w:val="558B08E8"/>
    <w:rsid w:val="558E7E89"/>
    <w:rsid w:val="558F3219"/>
    <w:rsid w:val="559D1A4A"/>
    <w:rsid w:val="55A20CEA"/>
    <w:rsid w:val="55B338E1"/>
    <w:rsid w:val="55B345FD"/>
    <w:rsid w:val="55D73757"/>
    <w:rsid w:val="55E505B7"/>
    <w:rsid w:val="55EF2B6A"/>
    <w:rsid w:val="55F13EC1"/>
    <w:rsid w:val="55FC75CF"/>
    <w:rsid w:val="562073F6"/>
    <w:rsid w:val="56240DF8"/>
    <w:rsid w:val="56260E1E"/>
    <w:rsid w:val="56286D9A"/>
    <w:rsid w:val="56396532"/>
    <w:rsid w:val="563B0026"/>
    <w:rsid w:val="56406CA0"/>
    <w:rsid w:val="56472FEC"/>
    <w:rsid w:val="565427DE"/>
    <w:rsid w:val="56655D21"/>
    <w:rsid w:val="566B2F8F"/>
    <w:rsid w:val="567C5BB4"/>
    <w:rsid w:val="56836349"/>
    <w:rsid w:val="568A39E1"/>
    <w:rsid w:val="56971283"/>
    <w:rsid w:val="56985083"/>
    <w:rsid w:val="56996281"/>
    <w:rsid w:val="56AF5BF4"/>
    <w:rsid w:val="56B10178"/>
    <w:rsid w:val="56CB5116"/>
    <w:rsid w:val="56DF5A44"/>
    <w:rsid w:val="56E338B7"/>
    <w:rsid w:val="56EF4625"/>
    <w:rsid w:val="56F26356"/>
    <w:rsid w:val="56FD6DA4"/>
    <w:rsid w:val="56FE2748"/>
    <w:rsid w:val="57001F60"/>
    <w:rsid w:val="573917FE"/>
    <w:rsid w:val="57395D28"/>
    <w:rsid w:val="573A78E7"/>
    <w:rsid w:val="573E4209"/>
    <w:rsid w:val="5749546F"/>
    <w:rsid w:val="574F39F8"/>
    <w:rsid w:val="576840B4"/>
    <w:rsid w:val="577817F9"/>
    <w:rsid w:val="57857845"/>
    <w:rsid w:val="579907EF"/>
    <w:rsid w:val="57A001D2"/>
    <w:rsid w:val="57A00B6B"/>
    <w:rsid w:val="57A928FF"/>
    <w:rsid w:val="57B91441"/>
    <w:rsid w:val="57D01118"/>
    <w:rsid w:val="57D2223D"/>
    <w:rsid w:val="57D86AF6"/>
    <w:rsid w:val="57E92129"/>
    <w:rsid w:val="57FA120E"/>
    <w:rsid w:val="58045D46"/>
    <w:rsid w:val="58071676"/>
    <w:rsid w:val="58095748"/>
    <w:rsid w:val="581102C9"/>
    <w:rsid w:val="58175D6B"/>
    <w:rsid w:val="58181B11"/>
    <w:rsid w:val="581B5344"/>
    <w:rsid w:val="5825491D"/>
    <w:rsid w:val="58281034"/>
    <w:rsid w:val="582C0868"/>
    <w:rsid w:val="58376102"/>
    <w:rsid w:val="583E23AE"/>
    <w:rsid w:val="584909A8"/>
    <w:rsid w:val="584B297B"/>
    <w:rsid w:val="586E709D"/>
    <w:rsid w:val="587B6986"/>
    <w:rsid w:val="58803D83"/>
    <w:rsid w:val="58844A00"/>
    <w:rsid w:val="588E2F9C"/>
    <w:rsid w:val="58AC77B2"/>
    <w:rsid w:val="58B6090F"/>
    <w:rsid w:val="58CD7E05"/>
    <w:rsid w:val="58D80501"/>
    <w:rsid w:val="58F133F8"/>
    <w:rsid w:val="58F43D05"/>
    <w:rsid w:val="58FA7751"/>
    <w:rsid w:val="59094B28"/>
    <w:rsid w:val="59097FF9"/>
    <w:rsid w:val="590F1096"/>
    <w:rsid w:val="591431AC"/>
    <w:rsid w:val="591F2892"/>
    <w:rsid w:val="592669D4"/>
    <w:rsid w:val="5939060F"/>
    <w:rsid w:val="59392A23"/>
    <w:rsid w:val="593C6EC3"/>
    <w:rsid w:val="59441A53"/>
    <w:rsid w:val="5947215A"/>
    <w:rsid w:val="59473275"/>
    <w:rsid w:val="595B4CF8"/>
    <w:rsid w:val="595C33FB"/>
    <w:rsid w:val="595D1531"/>
    <w:rsid w:val="59606BE0"/>
    <w:rsid w:val="596436DD"/>
    <w:rsid w:val="596F247B"/>
    <w:rsid w:val="59707CA0"/>
    <w:rsid w:val="59817F66"/>
    <w:rsid w:val="598633F7"/>
    <w:rsid w:val="5989120F"/>
    <w:rsid w:val="598C7482"/>
    <w:rsid w:val="59A15C2E"/>
    <w:rsid w:val="59AA62AC"/>
    <w:rsid w:val="59B574C6"/>
    <w:rsid w:val="59B953E7"/>
    <w:rsid w:val="59BD197B"/>
    <w:rsid w:val="59C46CF2"/>
    <w:rsid w:val="59E343FC"/>
    <w:rsid w:val="59E56ABD"/>
    <w:rsid w:val="59F350BD"/>
    <w:rsid w:val="59F720DA"/>
    <w:rsid w:val="5A1E1882"/>
    <w:rsid w:val="5A225A69"/>
    <w:rsid w:val="5A3630BC"/>
    <w:rsid w:val="5A3E10E5"/>
    <w:rsid w:val="5A417030"/>
    <w:rsid w:val="5A446B90"/>
    <w:rsid w:val="5A50340B"/>
    <w:rsid w:val="5A55021D"/>
    <w:rsid w:val="5A645E3A"/>
    <w:rsid w:val="5A6657EE"/>
    <w:rsid w:val="5A712220"/>
    <w:rsid w:val="5A8671CF"/>
    <w:rsid w:val="5A8B0D67"/>
    <w:rsid w:val="5A8D6AD2"/>
    <w:rsid w:val="5A8D7F6F"/>
    <w:rsid w:val="5A9102A6"/>
    <w:rsid w:val="5A9B164F"/>
    <w:rsid w:val="5AB46B66"/>
    <w:rsid w:val="5AD05E4E"/>
    <w:rsid w:val="5AE046EF"/>
    <w:rsid w:val="5AE172FF"/>
    <w:rsid w:val="5AF80325"/>
    <w:rsid w:val="5B141013"/>
    <w:rsid w:val="5B1B724B"/>
    <w:rsid w:val="5B2A45A0"/>
    <w:rsid w:val="5B3300A3"/>
    <w:rsid w:val="5B336720"/>
    <w:rsid w:val="5B376328"/>
    <w:rsid w:val="5B450528"/>
    <w:rsid w:val="5B506344"/>
    <w:rsid w:val="5B5C0611"/>
    <w:rsid w:val="5B647768"/>
    <w:rsid w:val="5B757EED"/>
    <w:rsid w:val="5B7F7745"/>
    <w:rsid w:val="5B85263C"/>
    <w:rsid w:val="5B884177"/>
    <w:rsid w:val="5B9D035A"/>
    <w:rsid w:val="5BA614EB"/>
    <w:rsid w:val="5BB040D3"/>
    <w:rsid w:val="5BB125F5"/>
    <w:rsid w:val="5BCF4A35"/>
    <w:rsid w:val="5BF002D0"/>
    <w:rsid w:val="5BF9099D"/>
    <w:rsid w:val="5BFA25B5"/>
    <w:rsid w:val="5C001560"/>
    <w:rsid w:val="5C001B87"/>
    <w:rsid w:val="5C006112"/>
    <w:rsid w:val="5C1824EE"/>
    <w:rsid w:val="5C19221A"/>
    <w:rsid w:val="5C1B7935"/>
    <w:rsid w:val="5C306BF3"/>
    <w:rsid w:val="5C39520E"/>
    <w:rsid w:val="5C3C5B27"/>
    <w:rsid w:val="5C3F16A8"/>
    <w:rsid w:val="5C58551F"/>
    <w:rsid w:val="5C5D2483"/>
    <w:rsid w:val="5C6057C6"/>
    <w:rsid w:val="5C645313"/>
    <w:rsid w:val="5C663C01"/>
    <w:rsid w:val="5C681C6E"/>
    <w:rsid w:val="5C706150"/>
    <w:rsid w:val="5C7D3CE6"/>
    <w:rsid w:val="5C862FF5"/>
    <w:rsid w:val="5C8A7D05"/>
    <w:rsid w:val="5C8E12DC"/>
    <w:rsid w:val="5C9439E9"/>
    <w:rsid w:val="5C987059"/>
    <w:rsid w:val="5CAA2A90"/>
    <w:rsid w:val="5CC07D85"/>
    <w:rsid w:val="5CCD7BAC"/>
    <w:rsid w:val="5CD46B9A"/>
    <w:rsid w:val="5CE00E0D"/>
    <w:rsid w:val="5CE74F3E"/>
    <w:rsid w:val="5CFB0A94"/>
    <w:rsid w:val="5CFE38D8"/>
    <w:rsid w:val="5D0917BE"/>
    <w:rsid w:val="5D0B3C61"/>
    <w:rsid w:val="5D111109"/>
    <w:rsid w:val="5D1701A0"/>
    <w:rsid w:val="5D1912F2"/>
    <w:rsid w:val="5D1E2888"/>
    <w:rsid w:val="5D2B1B9F"/>
    <w:rsid w:val="5D316760"/>
    <w:rsid w:val="5D3255F6"/>
    <w:rsid w:val="5D327C82"/>
    <w:rsid w:val="5D35198B"/>
    <w:rsid w:val="5D3B344C"/>
    <w:rsid w:val="5D3F60C1"/>
    <w:rsid w:val="5D481EE8"/>
    <w:rsid w:val="5D4B4EA2"/>
    <w:rsid w:val="5D4D24A9"/>
    <w:rsid w:val="5D604A1B"/>
    <w:rsid w:val="5D702F64"/>
    <w:rsid w:val="5D7405C3"/>
    <w:rsid w:val="5D7835BB"/>
    <w:rsid w:val="5D7C7DE8"/>
    <w:rsid w:val="5D826FFF"/>
    <w:rsid w:val="5D885D7D"/>
    <w:rsid w:val="5D93112F"/>
    <w:rsid w:val="5D95266F"/>
    <w:rsid w:val="5DB42BCF"/>
    <w:rsid w:val="5DCC5312"/>
    <w:rsid w:val="5DF0093C"/>
    <w:rsid w:val="5DFD039A"/>
    <w:rsid w:val="5E0F3B06"/>
    <w:rsid w:val="5E167C98"/>
    <w:rsid w:val="5E1E46CC"/>
    <w:rsid w:val="5E2F6EDC"/>
    <w:rsid w:val="5E31721C"/>
    <w:rsid w:val="5E327944"/>
    <w:rsid w:val="5E3C6F41"/>
    <w:rsid w:val="5E4D6686"/>
    <w:rsid w:val="5E51380B"/>
    <w:rsid w:val="5E536A81"/>
    <w:rsid w:val="5E5471FC"/>
    <w:rsid w:val="5E595823"/>
    <w:rsid w:val="5E651670"/>
    <w:rsid w:val="5E6541ED"/>
    <w:rsid w:val="5E6A32E8"/>
    <w:rsid w:val="5E75783D"/>
    <w:rsid w:val="5E763A92"/>
    <w:rsid w:val="5E7B4CB6"/>
    <w:rsid w:val="5E853C27"/>
    <w:rsid w:val="5EBA3B29"/>
    <w:rsid w:val="5EC43FCA"/>
    <w:rsid w:val="5EEF0206"/>
    <w:rsid w:val="5EF53085"/>
    <w:rsid w:val="5EFC4145"/>
    <w:rsid w:val="5EFE4D76"/>
    <w:rsid w:val="5F003248"/>
    <w:rsid w:val="5F0830E2"/>
    <w:rsid w:val="5F1753C8"/>
    <w:rsid w:val="5F3F2C67"/>
    <w:rsid w:val="5F602226"/>
    <w:rsid w:val="5F610FD8"/>
    <w:rsid w:val="5F64339D"/>
    <w:rsid w:val="5F6451CF"/>
    <w:rsid w:val="5F7A37B4"/>
    <w:rsid w:val="5F863BE5"/>
    <w:rsid w:val="5F8D186E"/>
    <w:rsid w:val="5F912A1A"/>
    <w:rsid w:val="5F9B62E4"/>
    <w:rsid w:val="5FA20873"/>
    <w:rsid w:val="5FAC0D3D"/>
    <w:rsid w:val="5FAC7D35"/>
    <w:rsid w:val="5FB7256A"/>
    <w:rsid w:val="5FB85093"/>
    <w:rsid w:val="5FBC20CD"/>
    <w:rsid w:val="5FCB6021"/>
    <w:rsid w:val="5FCD431F"/>
    <w:rsid w:val="5FDA1420"/>
    <w:rsid w:val="5FDA46B5"/>
    <w:rsid w:val="5FE50B54"/>
    <w:rsid w:val="5FFF7E75"/>
    <w:rsid w:val="600A5C1C"/>
    <w:rsid w:val="60123CE2"/>
    <w:rsid w:val="60164274"/>
    <w:rsid w:val="601E017A"/>
    <w:rsid w:val="60290287"/>
    <w:rsid w:val="602B5846"/>
    <w:rsid w:val="6037520C"/>
    <w:rsid w:val="603C5EFD"/>
    <w:rsid w:val="6042276E"/>
    <w:rsid w:val="60451FF6"/>
    <w:rsid w:val="60466C9D"/>
    <w:rsid w:val="604B0DF1"/>
    <w:rsid w:val="606A608E"/>
    <w:rsid w:val="6071549D"/>
    <w:rsid w:val="60973EE9"/>
    <w:rsid w:val="609920C6"/>
    <w:rsid w:val="60A96473"/>
    <w:rsid w:val="60B8658C"/>
    <w:rsid w:val="60D37332"/>
    <w:rsid w:val="60F27395"/>
    <w:rsid w:val="61005E09"/>
    <w:rsid w:val="6122115C"/>
    <w:rsid w:val="612E487B"/>
    <w:rsid w:val="614512E7"/>
    <w:rsid w:val="614D13CA"/>
    <w:rsid w:val="615E0F18"/>
    <w:rsid w:val="61607700"/>
    <w:rsid w:val="61812773"/>
    <w:rsid w:val="61842535"/>
    <w:rsid w:val="618A2F5E"/>
    <w:rsid w:val="618D31A8"/>
    <w:rsid w:val="6199328B"/>
    <w:rsid w:val="61AD00BB"/>
    <w:rsid w:val="61B551C2"/>
    <w:rsid w:val="61BA3EF1"/>
    <w:rsid w:val="61C03014"/>
    <w:rsid w:val="61CA1DD9"/>
    <w:rsid w:val="61D41D79"/>
    <w:rsid w:val="61D422E1"/>
    <w:rsid w:val="61F706E3"/>
    <w:rsid w:val="62031A89"/>
    <w:rsid w:val="62037CDB"/>
    <w:rsid w:val="621B638D"/>
    <w:rsid w:val="62253F25"/>
    <w:rsid w:val="62311426"/>
    <w:rsid w:val="623567ED"/>
    <w:rsid w:val="623A030F"/>
    <w:rsid w:val="623A328B"/>
    <w:rsid w:val="624A2104"/>
    <w:rsid w:val="624E0456"/>
    <w:rsid w:val="624E6F36"/>
    <w:rsid w:val="625465F5"/>
    <w:rsid w:val="62574E03"/>
    <w:rsid w:val="625D1C65"/>
    <w:rsid w:val="626B60CF"/>
    <w:rsid w:val="627666FF"/>
    <w:rsid w:val="62957BAE"/>
    <w:rsid w:val="62977F4E"/>
    <w:rsid w:val="629D2FD8"/>
    <w:rsid w:val="629E7A04"/>
    <w:rsid w:val="62A13C8F"/>
    <w:rsid w:val="62A16A4F"/>
    <w:rsid w:val="62A20C37"/>
    <w:rsid w:val="62A25746"/>
    <w:rsid w:val="62A4371E"/>
    <w:rsid w:val="62A90B7F"/>
    <w:rsid w:val="62C17B03"/>
    <w:rsid w:val="62CB139A"/>
    <w:rsid w:val="62D26422"/>
    <w:rsid w:val="62E3655B"/>
    <w:rsid w:val="62E53885"/>
    <w:rsid w:val="62FB021F"/>
    <w:rsid w:val="630C4887"/>
    <w:rsid w:val="63122BE1"/>
    <w:rsid w:val="63136D6D"/>
    <w:rsid w:val="6320700A"/>
    <w:rsid w:val="63244250"/>
    <w:rsid w:val="632F330A"/>
    <w:rsid w:val="63351DC4"/>
    <w:rsid w:val="633A1FD7"/>
    <w:rsid w:val="636522D0"/>
    <w:rsid w:val="63770AE4"/>
    <w:rsid w:val="637B6673"/>
    <w:rsid w:val="63827761"/>
    <w:rsid w:val="6397235F"/>
    <w:rsid w:val="63982D94"/>
    <w:rsid w:val="63A1527E"/>
    <w:rsid w:val="63A70109"/>
    <w:rsid w:val="63AA2E7E"/>
    <w:rsid w:val="63BB3CAE"/>
    <w:rsid w:val="63CB685C"/>
    <w:rsid w:val="63D51AEE"/>
    <w:rsid w:val="63D768F7"/>
    <w:rsid w:val="63D80547"/>
    <w:rsid w:val="63DF76E3"/>
    <w:rsid w:val="63EC16EE"/>
    <w:rsid w:val="63ED6921"/>
    <w:rsid w:val="64052F7C"/>
    <w:rsid w:val="64060872"/>
    <w:rsid w:val="64180985"/>
    <w:rsid w:val="64190BE6"/>
    <w:rsid w:val="641B1EC3"/>
    <w:rsid w:val="64282CCA"/>
    <w:rsid w:val="642A5734"/>
    <w:rsid w:val="642D2F6E"/>
    <w:rsid w:val="64414857"/>
    <w:rsid w:val="64453863"/>
    <w:rsid w:val="644E0C99"/>
    <w:rsid w:val="646026C4"/>
    <w:rsid w:val="64753424"/>
    <w:rsid w:val="649B19D5"/>
    <w:rsid w:val="64A5151D"/>
    <w:rsid w:val="64BC7A1C"/>
    <w:rsid w:val="64C675DD"/>
    <w:rsid w:val="65091579"/>
    <w:rsid w:val="650B704F"/>
    <w:rsid w:val="651578A2"/>
    <w:rsid w:val="651B1F15"/>
    <w:rsid w:val="651D2658"/>
    <w:rsid w:val="65287211"/>
    <w:rsid w:val="652C44FA"/>
    <w:rsid w:val="652D5B84"/>
    <w:rsid w:val="652F603C"/>
    <w:rsid w:val="65322722"/>
    <w:rsid w:val="65335933"/>
    <w:rsid w:val="654B2539"/>
    <w:rsid w:val="65533E5D"/>
    <w:rsid w:val="655755CE"/>
    <w:rsid w:val="655D4930"/>
    <w:rsid w:val="655F13A0"/>
    <w:rsid w:val="65671C0B"/>
    <w:rsid w:val="658062AA"/>
    <w:rsid w:val="658A6A0E"/>
    <w:rsid w:val="658E2AD9"/>
    <w:rsid w:val="6590384C"/>
    <w:rsid w:val="659142E8"/>
    <w:rsid w:val="659267A1"/>
    <w:rsid w:val="65967C8E"/>
    <w:rsid w:val="65AD0913"/>
    <w:rsid w:val="65C323AC"/>
    <w:rsid w:val="65C5372C"/>
    <w:rsid w:val="65CC646D"/>
    <w:rsid w:val="65D637F1"/>
    <w:rsid w:val="65E23F8F"/>
    <w:rsid w:val="65F55B8D"/>
    <w:rsid w:val="65F97B64"/>
    <w:rsid w:val="66126CC6"/>
    <w:rsid w:val="66131444"/>
    <w:rsid w:val="66287B67"/>
    <w:rsid w:val="662C35BC"/>
    <w:rsid w:val="662D660C"/>
    <w:rsid w:val="66352B06"/>
    <w:rsid w:val="66465472"/>
    <w:rsid w:val="66514D1D"/>
    <w:rsid w:val="6659113A"/>
    <w:rsid w:val="665A463F"/>
    <w:rsid w:val="665C1CD0"/>
    <w:rsid w:val="66672053"/>
    <w:rsid w:val="666A72B8"/>
    <w:rsid w:val="66936083"/>
    <w:rsid w:val="669E0A58"/>
    <w:rsid w:val="66C00AAB"/>
    <w:rsid w:val="66C31166"/>
    <w:rsid w:val="66C87E97"/>
    <w:rsid w:val="66CD30AE"/>
    <w:rsid w:val="66D375CF"/>
    <w:rsid w:val="66EE0E67"/>
    <w:rsid w:val="66F20CC9"/>
    <w:rsid w:val="66F52482"/>
    <w:rsid w:val="66F65F8F"/>
    <w:rsid w:val="66F978FF"/>
    <w:rsid w:val="67062C5F"/>
    <w:rsid w:val="67127842"/>
    <w:rsid w:val="67307DFD"/>
    <w:rsid w:val="673E5010"/>
    <w:rsid w:val="67472223"/>
    <w:rsid w:val="675A11BD"/>
    <w:rsid w:val="675B7ACE"/>
    <w:rsid w:val="675F23CD"/>
    <w:rsid w:val="676B5F56"/>
    <w:rsid w:val="676D3803"/>
    <w:rsid w:val="67765761"/>
    <w:rsid w:val="67850EC5"/>
    <w:rsid w:val="67855EEA"/>
    <w:rsid w:val="678C4F16"/>
    <w:rsid w:val="67A11EFE"/>
    <w:rsid w:val="67AE7A7A"/>
    <w:rsid w:val="67AF4DDD"/>
    <w:rsid w:val="67B36ACB"/>
    <w:rsid w:val="67BA1C49"/>
    <w:rsid w:val="67BE6FF9"/>
    <w:rsid w:val="67BF3619"/>
    <w:rsid w:val="67CF642B"/>
    <w:rsid w:val="67D03A96"/>
    <w:rsid w:val="67D37463"/>
    <w:rsid w:val="67D97736"/>
    <w:rsid w:val="67DB3F9D"/>
    <w:rsid w:val="67F76DF8"/>
    <w:rsid w:val="67FE3789"/>
    <w:rsid w:val="681674DA"/>
    <w:rsid w:val="68241284"/>
    <w:rsid w:val="6836161A"/>
    <w:rsid w:val="684127C6"/>
    <w:rsid w:val="68485EF3"/>
    <w:rsid w:val="684B5AD1"/>
    <w:rsid w:val="684D6866"/>
    <w:rsid w:val="6871603B"/>
    <w:rsid w:val="68725EF8"/>
    <w:rsid w:val="68886AFA"/>
    <w:rsid w:val="688F5FE9"/>
    <w:rsid w:val="68932953"/>
    <w:rsid w:val="68961601"/>
    <w:rsid w:val="68963266"/>
    <w:rsid w:val="68B67BC4"/>
    <w:rsid w:val="68C14587"/>
    <w:rsid w:val="68D77589"/>
    <w:rsid w:val="68DB2D5C"/>
    <w:rsid w:val="68DF5B00"/>
    <w:rsid w:val="68E478B0"/>
    <w:rsid w:val="68E97B57"/>
    <w:rsid w:val="68EA54ED"/>
    <w:rsid w:val="68EF2F4F"/>
    <w:rsid w:val="68F5706E"/>
    <w:rsid w:val="68F70DA1"/>
    <w:rsid w:val="68F81C83"/>
    <w:rsid w:val="68FB0EF3"/>
    <w:rsid w:val="6911450F"/>
    <w:rsid w:val="693630AF"/>
    <w:rsid w:val="69440D40"/>
    <w:rsid w:val="69472B19"/>
    <w:rsid w:val="695F7AAB"/>
    <w:rsid w:val="69647F16"/>
    <w:rsid w:val="69652293"/>
    <w:rsid w:val="69702381"/>
    <w:rsid w:val="697032AF"/>
    <w:rsid w:val="69847057"/>
    <w:rsid w:val="6987414C"/>
    <w:rsid w:val="69942F74"/>
    <w:rsid w:val="699E1948"/>
    <w:rsid w:val="69AA0ED1"/>
    <w:rsid w:val="69AB5B52"/>
    <w:rsid w:val="69AE5A42"/>
    <w:rsid w:val="69B101E2"/>
    <w:rsid w:val="69B36235"/>
    <w:rsid w:val="69B54442"/>
    <w:rsid w:val="69C235B9"/>
    <w:rsid w:val="69C84994"/>
    <w:rsid w:val="69C920FF"/>
    <w:rsid w:val="69CC7CDA"/>
    <w:rsid w:val="69D56401"/>
    <w:rsid w:val="69EC155D"/>
    <w:rsid w:val="69F61ED3"/>
    <w:rsid w:val="6A044B09"/>
    <w:rsid w:val="6A0E25DB"/>
    <w:rsid w:val="6A1A5AF1"/>
    <w:rsid w:val="6A2E3966"/>
    <w:rsid w:val="6A360C3A"/>
    <w:rsid w:val="6A410B0D"/>
    <w:rsid w:val="6A447B79"/>
    <w:rsid w:val="6A464758"/>
    <w:rsid w:val="6A4C5283"/>
    <w:rsid w:val="6A4F26C2"/>
    <w:rsid w:val="6A5C1893"/>
    <w:rsid w:val="6A661591"/>
    <w:rsid w:val="6A711A3B"/>
    <w:rsid w:val="6AA61B4B"/>
    <w:rsid w:val="6AA71922"/>
    <w:rsid w:val="6AAC7F94"/>
    <w:rsid w:val="6AC16CB2"/>
    <w:rsid w:val="6ACF2642"/>
    <w:rsid w:val="6AD475F2"/>
    <w:rsid w:val="6ADB2E59"/>
    <w:rsid w:val="6AE63E22"/>
    <w:rsid w:val="6AE9660D"/>
    <w:rsid w:val="6AFE6E76"/>
    <w:rsid w:val="6B0529FA"/>
    <w:rsid w:val="6B0A1328"/>
    <w:rsid w:val="6B0F5007"/>
    <w:rsid w:val="6B1162AC"/>
    <w:rsid w:val="6B1D20F8"/>
    <w:rsid w:val="6B20545A"/>
    <w:rsid w:val="6B2F1C19"/>
    <w:rsid w:val="6B393A2F"/>
    <w:rsid w:val="6B39651C"/>
    <w:rsid w:val="6B4431C5"/>
    <w:rsid w:val="6B5159FE"/>
    <w:rsid w:val="6B551B4A"/>
    <w:rsid w:val="6B55524F"/>
    <w:rsid w:val="6B6B5D7B"/>
    <w:rsid w:val="6B80447F"/>
    <w:rsid w:val="6B8859BC"/>
    <w:rsid w:val="6B8D4062"/>
    <w:rsid w:val="6B9C596A"/>
    <w:rsid w:val="6B9E6E63"/>
    <w:rsid w:val="6B9F6672"/>
    <w:rsid w:val="6BBF084B"/>
    <w:rsid w:val="6BC550BF"/>
    <w:rsid w:val="6BCB23C4"/>
    <w:rsid w:val="6BCC70A3"/>
    <w:rsid w:val="6BE63CAB"/>
    <w:rsid w:val="6BE7749F"/>
    <w:rsid w:val="6BE96005"/>
    <w:rsid w:val="6BEF487B"/>
    <w:rsid w:val="6BF12D98"/>
    <w:rsid w:val="6BF377EE"/>
    <w:rsid w:val="6BFD3838"/>
    <w:rsid w:val="6C1E0C0B"/>
    <w:rsid w:val="6C2A46BB"/>
    <w:rsid w:val="6C2C0CA3"/>
    <w:rsid w:val="6C2E0539"/>
    <w:rsid w:val="6C403141"/>
    <w:rsid w:val="6C4F721F"/>
    <w:rsid w:val="6C6F0B8C"/>
    <w:rsid w:val="6C7255E2"/>
    <w:rsid w:val="6C7731BF"/>
    <w:rsid w:val="6C79329F"/>
    <w:rsid w:val="6C973710"/>
    <w:rsid w:val="6C9D0D2C"/>
    <w:rsid w:val="6CA01AB0"/>
    <w:rsid w:val="6CAD743E"/>
    <w:rsid w:val="6CD5398C"/>
    <w:rsid w:val="6CF034D8"/>
    <w:rsid w:val="6CF61641"/>
    <w:rsid w:val="6CFB55CA"/>
    <w:rsid w:val="6D0C2FC4"/>
    <w:rsid w:val="6D101DE6"/>
    <w:rsid w:val="6D1930AA"/>
    <w:rsid w:val="6D2E3C94"/>
    <w:rsid w:val="6D360476"/>
    <w:rsid w:val="6D4D10F5"/>
    <w:rsid w:val="6D4E7A49"/>
    <w:rsid w:val="6D4F4C1F"/>
    <w:rsid w:val="6D577758"/>
    <w:rsid w:val="6D5A06FB"/>
    <w:rsid w:val="6D5C06F1"/>
    <w:rsid w:val="6D6A5029"/>
    <w:rsid w:val="6D724E34"/>
    <w:rsid w:val="6D8A0A37"/>
    <w:rsid w:val="6D94611D"/>
    <w:rsid w:val="6D9E6B0A"/>
    <w:rsid w:val="6DA21855"/>
    <w:rsid w:val="6DAA41D6"/>
    <w:rsid w:val="6DB225B5"/>
    <w:rsid w:val="6DB3351F"/>
    <w:rsid w:val="6DB37BF9"/>
    <w:rsid w:val="6DC742B3"/>
    <w:rsid w:val="6DCB79C0"/>
    <w:rsid w:val="6DD54A53"/>
    <w:rsid w:val="6DD56DA7"/>
    <w:rsid w:val="6DDE4087"/>
    <w:rsid w:val="6DEA18CB"/>
    <w:rsid w:val="6E0B0A09"/>
    <w:rsid w:val="6E1420A4"/>
    <w:rsid w:val="6E283F01"/>
    <w:rsid w:val="6E2A4AC9"/>
    <w:rsid w:val="6E46549C"/>
    <w:rsid w:val="6E4719D9"/>
    <w:rsid w:val="6E514DF9"/>
    <w:rsid w:val="6E524440"/>
    <w:rsid w:val="6E681FC8"/>
    <w:rsid w:val="6E7B0BC2"/>
    <w:rsid w:val="6E7F6715"/>
    <w:rsid w:val="6E896D3C"/>
    <w:rsid w:val="6E9A1EC1"/>
    <w:rsid w:val="6EA168B2"/>
    <w:rsid w:val="6EA60604"/>
    <w:rsid w:val="6EB057B1"/>
    <w:rsid w:val="6EB74327"/>
    <w:rsid w:val="6EB80CF8"/>
    <w:rsid w:val="6EDD1BCF"/>
    <w:rsid w:val="6EDF25C6"/>
    <w:rsid w:val="6EE574BC"/>
    <w:rsid w:val="6EEA2D7E"/>
    <w:rsid w:val="6EEC41A7"/>
    <w:rsid w:val="6EFD256A"/>
    <w:rsid w:val="6F142E9F"/>
    <w:rsid w:val="6F1928EC"/>
    <w:rsid w:val="6F200263"/>
    <w:rsid w:val="6F210F25"/>
    <w:rsid w:val="6F2179F2"/>
    <w:rsid w:val="6F25280C"/>
    <w:rsid w:val="6F2E6901"/>
    <w:rsid w:val="6F3A19EF"/>
    <w:rsid w:val="6F4B5BD1"/>
    <w:rsid w:val="6F5558EE"/>
    <w:rsid w:val="6F5F08DF"/>
    <w:rsid w:val="6F6262B3"/>
    <w:rsid w:val="6F715B04"/>
    <w:rsid w:val="6F850236"/>
    <w:rsid w:val="6F895350"/>
    <w:rsid w:val="6F8F7052"/>
    <w:rsid w:val="6F90612B"/>
    <w:rsid w:val="6F9219A4"/>
    <w:rsid w:val="6F99702F"/>
    <w:rsid w:val="6FAD1286"/>
    <w:rsid w:val="6FB734FB"/>
    <w:rsid w:val="6FBD6837"/>
    <w:rsid w:val="6FC211D5"/>
    <w:rsid w:val="6FCF17A5"/>
    <w:rsid w:val="6FD57B57"/>
    <w:rsid w:val="6FDB771B"/>
    <w:rsid w:val="6FE15108"/>
    <w:rsid w:val="6FF87A7C"/>
    <w:rsid w:val="70017166"/>
    <w:rsid w:val="70180CFC"/>
    <w:rsid w:val="701B192A"/>
    <w:rsid w:val="701C10C9"/>
    <w:rsid w:val="701F4E88"/>
    <w:rsid w:val="702A6D7B"/>
    <w:rsid w:val="702C6F5E"/>
    <w:rsid w:val="70330F7D"/>
    <w:rsid w:val="70342C8C"/>
    <w:rsid w:val="70452732"/>
    <w:rsid w:val="70557F9F"/>
    <w:rsid w:val="70681E41"/>
    <w:rsid w:val="706D1689"/>
    <w:rsid w:val="706F62FF"/>
    <w:rsid w:val="7071711E"/>
    <w:rsid w:val="70860455"/>
    <w:rsid w:val="7093078A"/>
    <w:rsid w:val="70995CB9"/>
    <w:rsid w:val="709E7F9F"/>
    <w:rsid w:val="70A14E28"/>
    <w:rsid w:val="70A77C07"/>
    <w:rsid w:val="70A81773"/>
    <w:rsid w:val="70AC35A6"/>
    <w:rsid w:val="70AD3298"/>
    <w:rsid w:val="70B14479"/>
    <w:rsid w:val="70B74F36"/>
    <w:rsid w:val="70C12517"/>
    <w:rsid w:val="70C55A3F"/>
    <w:rsid w:val="70D41F70"/>
    <w:rsid w:val="70EA4E87"/>
    <w:rsid w:val="70ED3F47"/>
    <w:rsid w:val="70F3716D"/>
    <w:rsid w:val="70FA351F"/>
    <w:rsid w:val="70FA3871"/>
    <w:rsid w:val="710204ED"/>
    <w:rsid w:val="7116396E"/>
    <w:rsid w:val="711677CC"/>
    <w:rsid w:val="712A1873"/>
    <w:rsid w:val="713905D5"/>
    <w:rsid w:val="71453CBB"/>
    <w:rsid w:val="715042A9"/>
    <w:rsid w:val="716657A2"/>
    <w:rsid w:val="71666CA7"/>
    <w:rsid w:val="71704E23"/>
    <w:rsid w:val="717B2CD7"/>
    <w:rsid w:val="71917342"/>
    <w:rsid w:val="719B22F3"/>
    <w:rsid w:val="71A03221"/>
    <w:rsid w:val="71BF2B4C"/>
    <w:rsid w:val="71C46634"/>
    <w:rsid w:val="71CD6426"/>
    <w:rsid w:val="71ED1DEC"/>
    <w:rsid w:val="71EF24D8"/>
    <w:rsid w:val="71F01F1B"/>
    <w:rsid w:val="71F474FE"/>
    <w:rsid w:val="72073A04"/>
    <w:rsid w:val="72074964"/>
    <w:rsid w:val="721005B7"/>
    <w:rsid w:val="721A322D"/>
    <w:rsid w:val="721D6ED6"/>
    <w:rsid w:val="722C3F2C"/>
    <w:rsid w:val="722E7771"/>
    <w:rsid w:val="724032AE"/>
    <w:rsid w:val="72461AC5"/>
    <w:rsid w:val="724759C2"/>
    <w:rsid w:val="724C33EA"/>
    <w:rsid w:val="7254168E"/>
    <w:rsid w:val="727E7426"/>
    <w:rsid w:val="727F6D82"/>
    <w:rsid w:val="728F3E23"/>
    <w:rsid w:val="729114E4"/>
    <w:rsid w:val="72941ADE"/>
    <w:rsid w:val="72966460"/>
    <w:rsid w:val="72A113F5"/>
    <w:rsid w:val="72AF469E"/>
    <w:rsid w:val="72C3043F"/>
    <w:rsid w:val="72CB5395"/>
    <w:rsid w:val="72D9430F"/>
    <w:rsid w:val="72E2527A"/>
    <w:rsid w:val="72E84FCB"/>
    <w:rsid w:val="730218E9"/>
    <w:rsid w:val="73093073"/>
    <w:rsid w:val="73111034"/>
    <w:rsid w:val="731B4124"/>
    <w:rsid w:val="73275BB3"/>
    <w:rsid w:val="732940C4"/>
    <w:rsid w:val="732E58AF"/>
    <w:rsid w:val="733E2311"/>
    <w:rsid w:val="73592879"/>
    <w:rsid w:val="735C080F"/>
    <w:rsid w:val="736427B8"/>
    <w:rsid w:val="73702918"/>
    <w:rsid w:val="73755331"/>
    <w:rsid w:val="737B701B"/>
    <w:rsid w:val="737F3BAF"/>
    <w:rsid w:val="73932E87"/>
    <w:rsid w:val="739915E2"/>
    <w:rsid w:val="73A06E87"/>
    <w:rsid w:val="73A1041B"/>
    <w:rsid w:val="73AA5600"/>
    <w:rsid w:val="73B24E0E"/>
    <w:rsid w:val="73D56C9A"/>
    <w:rsid w:val="73D82234"/>
    <w:rsid w:val="73DB1902"/>
    <w:rsid w:val="73E2505A"/>
    <w:rsid w:val="73F3500F"/>
    <w:rsid w:val="73F860EB"/>
    <w:rsid w:val="73FA7E93"/>
    <w:rsid w:val="741D040C"/>
    <w:rsid w:val="742F454A"/>
    <w:rsid w:val="74375834"/>
    <w:rsid w:val="743D4FE6"/>
    <w:rsid w:val="744767C8"/>
    <w:rsid w:val="74486C31"/>
    <w:rsid w:val="744E0EDF"/>
    <w:rsid w:val="74550C4A"/>
    <w:rsid w:val="7456327A"/>
    <w:rsid w:val="745D0D54"/>
    <w:rsid w:val="74706E22"/>
    <w:rsid w:val="74744A68"/>
    <w:rsid w:val="747D15B2"/>
    <w:rsid w:val="748C4734"/>
    <w:rsid w:val="74902EF8"/>
    <w:rsid w:val="7491561A"/>
    <w:rsid w:val="749477EC"/>
    <w:rsid w:val="749A12AE"/>
    <w:rsid w:val="749B5847"/>
    <w:rsid w:val="74A45D89"/>
    <w:rsid w:val="74AA10F9"/>
    <w:rsid w:val="74AF5A49"/>
    <w:rsid w:val="74B03B09"/>
    <w:rsid w:val="74C368C4"/>
    <w:rsid w:val="74CB7319"/>
    <w:rsid w:val="74DD4E68"/>
    <w:rsid w:val="74E403D4"/>
    <w:rsid w:val="74E465FB"/>
    <w:rsid w:val="750758DC"/>
    <w:rsid w:val="750A0A4C"/>
    <w:rsid w:val="751741BD"/>
    <w:rsid w:val="75231FD2"/>
    <w:rsid w:val="753763AD"/>
    <w:rsid w:val="7540196D"/>
    <w:rsid w:val="75437B3B"/>
    <w:rsid w:val="754A3A2C"/>
    <w:rsid w:val="75541BBD"/>
    <w:rsid w:val="755539E7"/>
    <w:rsid w:val="755F4D91"/>
    <w:rsid w:val="7560046D"/>
    <w:rsid w:val="756B31FB"/>
    <w:rsid w:val="756C557E"/>
    <w:rsid w:val="75743715"/>
    <w:rsid w:val="75855A4F"/>
    <w:rsid w:val="758F08B6"/>
    <w:rsid w:val="759070ED"/>
    <w:rsid w:val="75924A58"/>
    <w:rsid w:val="7599568C"/>
    <w:rsid w:val="759E71C1"/>
    <w:rsid w:val="75A10648"/>
    <w:rsid w:val="75A40065"/>
    <w:rsid w:val="75A72C97"/>
    <w:rsid w:val="75A74922"/>
    <w:rsid w:val="75A924F0"/>
    <w:rsid w:val="75B70C04"/>
    <w:rsid w:val="75B80D1A"/>
    <w:rsid w:val="75B82A34"/>
    <w:rsid w:val="75B86293"/>
    <w:rsid w:val="75CB6D84"/>
    <w:rsid w:val="75D0021C"/>
    <w:rsid w:val="75E03B9D"/>
    <w:rsid w:val="75E116B4"/>
    <w:rsid w:val="75E95539"/>
    <w:rsid w:val="75EA35E1"/>
    <w:rsid w:val="75ED062E"/>
    <w:rsid w:val="75F728CA"/>
    <w:rsid w:val="760A5F54"/>
    <w:rsid w:val="761E77C1"/>
    <w:rsid w:val="761F425A"/>
    <w:rsid w:val="762873D8"/>
    <w:rsid w:val="762F0C47"/>
    <w:rsid w:val="763611A4"/>
    <w:rsid w:val="763F0C20"/>
    <w:rsid w:val="763F7CF6"/>
    <w:rsid w:val="764202B9"/>
    <w:rsid w:val="76427837"/>
    <w:rsid w:val="76432E77"/>
    <w:rsid w:val="765706FC"/>
    <w:rsid w:val="765765E5"/>
    <w:rsid w:val="76633220"/>
    <w:rsid w:val="76641E14"/>
    <w:rsid w:val="766528BB"/>
    <w:rsid w:val="76660DD9"/>
    <w:rsid w:val="766706E9"/>
    <w:rsid w:val="76706486"/>
    <w:rsid w:val="767523FC"/>
    <w:rsid w:val="76756ABB"/>
    <w:rsid w:val="767E572A"/>
    <w:rsid w:val="76885E99"/>
    <w:rsid w:val="769F4B26"/>
    <w:rsid w:val="76AB4101"/>
    <w:rsid w:val="76C64F90"/>
    <w:rsid w:val="76DA79BA"/>
    <w:rsid w:val="76DC76BD"/>
    <w:rsid w:val="76E934EC"/>
    <w:rsid w:val="76F10C64"/>
    <w:rsid w:val="76F3075F"/>
    <w:rsid w:val="76F8311E"/>
    <w:rsid w:val="76FC7D2E"/>
    <w:rsid w:val="77017224"/>
    <w:rsid w:val="772462D2"/>
    <w:rsid w:val="772B157C"/>
    <w:rsid w:val="77314F90"/>
    <w:rsid w:val="773212EF"/>
    <w:rsid w:val="773504DF"/>
    <w:rsid w:val="77396BC3"/>
    <w:rsid w:val="773B75F2"/>
    <w:rsid w:val="773D4B37"/>
    <w:rsid w:val="77442B45"/>
    <w:rsid w:val="77510118"/>
    <w:rsid w:val="77594296"/>
    <w:rsid w:val="775A40E0"/>
    <w:rsid w:val="775B16BA"/>
    <w:rsid w:val="775D2A67"/>
    <w:rsid w:val="775E5C88"/>
    <w:rsid w:val="77645E01"/>
    <w:rsid w:val="776B5CAF"/>
    <w:rsid w:val="777028F2"/>
    <w:rsid w:val="777E0ADE"/>
    <w:rsid w:val="77894546"/>
    <w:rsid w:val="779213EF"/>
    <w:rsid w:val="77A5430A"/>
    <w:rsid w:val="77B01947"/>
    <w:rsid w:val="77BE75E8"/>
    <w:rsid w:val="77DB3EE4"/>
    <w:rsid w:val="77DC5E6F"/>
    <w:rsid w:val="77DD63BE"/>
    <w:rsid w:val="77E8072D"/>
    <w:rsid w:val="77E85CB6"/>
    <w:rsid w:val="77F17247"/>
    <w:rsid w:val="77F42D7D"/>
    <w:rsid w:val="77FC0185"/>
    <w:rsid w:val="77FC3F5C"/>
    <w:rsid w:val="77FF0DAE"/>
    <w:rsid w:val="780B0945"/>
    <w:rsid w:val="780F1DAF"/>
    <w:rsid w:val="78177B7D"/>
    <w:rsid w:val="78344AA6"/>
    <w:rsid w:val="784020D2"/>
    <w:rsid w:val="78407AE4"/>
    <w:rsid w:val="784760D1"/>
    <w:rsid w:val="785845E8"/>
    <w:rsid w:val="785B6FDD"/>
    <w:rsid w:val="7860545A"/>
    <w:rsid w:val="78676AF5"/>
    <w:rsid w:val="787839B6"/>
    <w:rsid w:val="78890EB4"/>
    <w:rsid w:val="788C6262"/>
    <w:rsid w:val="789052EB"/>
    <w:rsid w:val="78967C78"/>
    <w:rsid w:val="78A940AA"/>
    <w:rsid w:val="78AC699E"/>
    <w:rsid w:val="78B92EA1"/>
    <w:rsid w:val="78C87F95"/>
    <w:rsid w:val="78CE2689"/>
    <w:rsid w:val="78DA3D52"/>
    <w:rsid w:val="78DE0702"/>
    <w:rsid w:val="78DE602D"/>
    <w:rsid w:val="78E05B9C"/>
    <w:rsid w:val="78E95F41"/>
    <w:rsid w:val="78EE5E4A"/>
    <w:rsid w:val="78FE5F09"/>
    <w:rsid w:val="79043FC6"/>
    <w:rsid w:val="79097065"/>
    <w:rsid w:val="790F07B4"/>
    <w:rsid w:val="7921777C"/>
    <w:rsid w:val="79245F18"/>
    <w:rsid w:val="793033AE"/>
    <w:rsid w:val="79352BF2"/>
    <w:rsid w:val="793845D3"/>
    <w:rsid w:val="7947680E"/>
    <w:rsid w:val="794D5AD3"/>
    <w:rsid w:val="79654A55"/>
    <w:rsid w:val="797541C5"/>
    <w:rsid w:val="79765397"/>
    <w:rsid w:val="797846D8"/>
    <w:rsid w:val="797B4B52"/>
    <w:rsid w:val="797F35E5"/>
    <w:rsid w:val="79922307"/>
    <w:rsid w:val="79A30F6F"/>
    <w:rsid w:val="79B95529"/>
    <w:rsid w:val="79BF3F75"/>
    <w:rsid w:val="79C46059"/>
    <w:rsid w:val="79C662DC"/>
    <w:rsid w:val="79CC1A31"/>
    <w:rsid w:val="79D16CE4"/>
    <w:rsid w:val="79DE5BF9"/>
    <w:rsid w:val="79E166FC"/>
    <w:rsid w:val="79F63239"/>
    <w:rsid w:val="79F76CF7"/>
    <w:rsid w:val="79F9007E"/>
    <w:rsid w:val="79FB796F"/>
    <w:rsid w:val="7A053DD2"/>
    <w:rsid w:val="7A1D39E7"/>
    <w:rsid w:val="7A20166C"/>
    <w:rsid w:val="7A2E5FFE"/>
    <w:rsid w:val="7A3129EE"/>
    <w:rsid w:val="7A643019"/>
    <w:rsid w:val="7A647011"/>
    <w:rsid w:val="7A65385D"/>
    <w:rsid w:val="7A6F3D08"/>
    <w:rsid w:val="7A717D16"/>
    <w:rsid w:val="7A75726B"/>
    <w:rsid w:val="7A8C73BB"/>
    <w:rsid w:val="7A9D2A0A"/>
    <w:rsid w:val="7AA3205E"/>
    <w:rsid w:val="7AA64D99"/>
    <w:rsid w:val="7AAB2866"/>
    <w:rsid w:val="7AAB5545"/>
    <w:rsid w:val="7AB234B6"/>
    <w:rsid w:val="7AD74746"/>
    <w:rsid w:val="7ADC48DF"/>
    <w:rsid w:val="7ADE4A78"/>
    <w:rsid w:val="7ADF0CC5"/>
    <w:rsid w:val="7AE72026"/>
    <w:rsid w:val="7AE777A7"/>
    <w:rsid w:val="7AEA37AE"/>
    <w:rsid w:val="7AFA0CD7"/>
    <w:rsid w:val="7B015527"/>
    <w:rsid w:val="7B0B7D72"/>
    <w:rsid w:val="7B1558CD"/>
    <w:rsid w:val="7B424F78"/>
    <w:rsid w:val="7B513336"/>
    <w:rsid w:val="7B524E57"/>
    <w:rsid w:val="7B573AE2"/>
    <w:rsid w:val="7B5D095E"/>
    <w:rsid w:val="7B615D46"/>
    <w:rsid w:val="7B6844D8"/>
    <w:rsid w:val="7B784A91"/>
    <w:rsid w:val="7B7A66A0"/>
    <w:rsid w:val="7B7D06A6"/>
    <w:rsid w:val="7B86712E"/>
    <w:rsid w:val="7B8E288D"/>
    <w:rsid w:val="7B950967"/>
    <w:rsid w:val="7BAA5035"/>
    <w:rsid w:val="7BAC222F"/>
    <w:rsid w:val="7BAF17D8"/>
    <w:rsid w:val="7BB651FD"/>
    <w:rsid w:val="7BB807B3"/>
    <w:rsid w:val="7BBC4C67"/>
    <w:rsid w:val="7BBF0E84"/>
    <w:rsid w:val="7BC623A8"/>
    <w:rsid w:val="7BC65BA9"/>
    <w:rsid w:val="7BC96234"/>
    <w:rsid w:val="7BEF534D"/>
    <w:rsid w:val="7BF027CD"/>
    <w:rsid w:val="7BF15740"/>
    <w:rsid w:val="7BF22EDF"/>
    <w:rsid w:val="7BFA3AA5"/>
    <w:rsid w:val="7C020A58"/>
    <w:rsid w:val="7C1626E6"/>
    <w:rsid w:val="7C1948DE"/>
    <w:rsid w:val="7C1F0E78"/>
    <w:rsid w:val="7C214F2B"/>
    <w:rsid w:val="7C221561"/>
    <w:rsid w:val="7C237808"/>
    <w:rsid w:val="7C4832DC"/>
    <w:rsid w:val="7C4A420C"/>
    <w:rsid w:val="7C6550F8"/>
    <w:rsid w:val="7C6F2919"/>
    <w:rsid w:val="7C731D93"/>
    <w:rsid w:val="7C796160"/>
    <w:rsid w:val="7C9F6181"/>
    <w:rsid w:val="7CA06F65"/>
    <w:rsid w:val="7CBA194F"/>
    <w:rsid w:val="7CBA61AE"/>
    <w:rsid w:val="7CBF7843"/>
    <w:rsid w:val="7CE42BB5"/>
    <w:rsid w:val="7CE52D95"/>
    <w:rsid w:val="7CF111A6"/>
    <w:rsid w:val="7CF151A1"/>
    <w:rsid w:val="7D04610A"/>
    <w:rsid w:val="7D0B7094"/>
    <w:rsid w:val="7D1E04AA"/>
    <w:rsid w:val="7D247836"/>
    <w:rsid w:val="7D260F43"/>
    <w:rsid w:val="7D2F7D25"/>
    <w:rsid w:val="7D382430"/>
    <w:rsid w:val="7D3C526C"/>
    <w:rsid w:val="7D433490"/>
    <w:rsid w:val="7D4C188E"/>
    <w:rsid w:val="7D5C24DE"/>
    <w:rsid w:val="7D673E3C"/>
    <w:rsid w:val="7D6D0AB6"/>
    <w:rsid w:val="7D87212F"/>
    <w:rsid w:val="7D872DF6"/>
    <w:rsid w:val="7D8A7627"/>
    <w:rsid w:val="7D927119"/>
    <w:rsid w:val="7DA136E4"/>
    <w:rsid w:val="7DA51654"/>
    <w:rsid w:val="7DA95AF0"/>
    <w:rsid w:val="7DAA4550"/>
    <w:rsid w:val="7DAC00F9"/>
    <w:rsid w:val="7DB64EB4"/>
    <w:rsid w:val="7DC91782"/>
    <w:rsid w:val="7DC93514"/>
    <w:rsid w:val="7DCE1189"/>
    <w:rsid w:val="7DD74F03"/>
    <w:rsid w:val="7DEB5EDF"/>
    <w:rsid w:val="7DF44BF2"/>
    <w:rsid w:val="7E0673CC"/>
    <w:rsid w:val="7E237A61"/>
    <w:rsid w:val="7E257446"/>
    <w:rsid w:val="7E294409"/>
    <w:rsid w:val="7E2948FD"/>
    <w:rsid w:val="7E2C0A0B"/>
    <w:rsid w:val="7E2C5612"/>
    <w:rsid w:val="7E5156E1"/>
    <w:rsid w:val="7E6A5905"/>
    <w:rsid w:val="7E826672"/>
    <w:rsid w:val="7EA15C39"/>
    <w:rsid w:val="7EB82E80"/>
    <w:rsid w:val="7EBC3485"/>
    <w:rsid w:val="7EC16268"/>
    <w:rsid w:val="7EC2621E"/>
    <w:rsid w:val="7ECC0A8D"/>
    <w:rsid w:val="7EE41FEB"/>
    <w:rsid w:val="7EF81904"/>
    <w:rsid w:val="7EFD7A47"/>
    <w:rsid w:val="7F036090"/>
    <w:rsid w:val="7F165284"/>
    <w:rsid w:val="7F3E56EF"/>
    <w:rsid w:val="7F50560A"/>
    <w:rsid w:val="7F52025E"/>
    <w:rsid w:val="7F556EA6"/>
    <w:rsid w:val="7F6702DE"/>
    <w:rsid w:val="7F6A7194"/>
    <w:rsid w:val="7F786547"/>
    <w:rsid w:val="7F806F48"/>
    <w:rsid w:val="7F847561"/>
    <w:rsid w:val="7F9018EC"/>
    <w:rsid w:val="7F911926"/>
    <w:rsid w:val="7F94064E"/>
    <w:rsid w:val="7F9738A7"/>
    <w:rsid w:val="7FA15D24"/>
    <w:rsid w:val="7FA236BC"/>
    <w:rsid w:val="7FA75CF2"/>
    <w:rsid w:val="7FB40AC5"/>
    <w:rsid w:val="7FB42A1F"/>
    <w:rsid w:val="7FB76CD3"/>
    <w:rsid w:val="7FC52B91"/>
    <w:rsid w:val="7FCB58BC"/>
    <w:rsid w:val="7FCF3AC9"/>
    <w:rsid w:val="7FE536CB"/>
    <w:rsid w:val="7FE57F82"/>
    <w:rsid w:val="7FEF54C9"/>
    <w:rsid w:val="7FFC7B11"/>
    <w:rsid w:val="7FFD2661"/>
    <w:rsid w:val="7FFF78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o:shapedefaults>
    <o:shapelayout v:ext="edit">
      <o:idmap v:ext="edit" data="1,2,4"/>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jc w:val="center"/>
      <w:outlineLvl w:val="1"/>
    </w:pPr>
    <w:rPr>
      <w:rFonts w:ascii="Arial" w:hAnsi="Arial" w:eastAsia="黑体"/>
      <w:b/>
      <w:sz w:val="44"/>
    </w:rPr>
  </w:style>
  <w:style w:type="paragraph" w:styleId="4">
    <w:name w:val="heading 3"/>
    <w:basedOn w:val="1"/>
    <w:next w:val="1"/>
    <w:qFormat/>
    <w:uiPriority w:val="0"/>
    <w:pPr>
      <w:keepNext/>
      <w:keepLines/>
      <w:spacing w:before="260" w:after="260" w:line="415" w:lineRule="auto"/>
      <w:jc w:val="center"/>
      <w:outlineLvl w:val="2"/>
    </w:pPr>
    <w:rPr>
      <w:rFonts w:ascii="宋体" w:hAnsi="宋体"/>
      <w:b/>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24">
    <w:name w:val="Default Paragraph Font"/>
    <w:uiPriority w:val="0"/>
  </w:style>
  <w:style w:type="table" w:default="1" w:styleId="2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7">
    <w:name w:val="Normal Indent"/>
    <w:basedOn w:val="1"/>
    <w:uiPriority w:val="0"/>
    <w:pPr>
      <w:ind w:firstLine="420"/>
    </w:pPr>
    <w:rPr>
      <w:kern w:val="1"/>
      <w:szCs w:val="20"/>
    </w:rPr>
  </w:style>
  <w:style w:type="paragraph" w:styleId="8">
    <w:name w:val="annotation text"/>
    <w:basedOn w:val="1"/>
    <w:link w:val="29"/>
    <w:uiPriority w:val="99"/>
    <w:pPr>
      <w:spacing w:line="360" w:lineRule="atLeast"/>
      <w:jc w:val="left"/>
    </w:pPr>
    <w:rPr>
      <w:sz w:val="24"/>
      <w:szCs w:val="20"/>
    </w:rPr>
  </w:style>
  <w:style w:type="paragraph" w:styleId="9">
    <w:name w:val="Body Text"/>
    <w:basedOn w:val="1"/>
    <w:next w:val="1"/>
    <w:link w:val="30"/>
    <w:uiPriority w:val="99"/>
    <w:rPr>
      <w:kern w:val="1"/>
      <w:sz w:val="28"/>
    </w:rPr>
  </w:style>
  <w:style w:type="paragraph" w:styleId="10">
    <w:name w:val="Body Text Indent"/>
    <w:basedOn w:val="1"/>
    <w:next w:val="1"/>
    <w:uiPriority w:val="0"/>
    <w:pPr>
      <w:spacing w:after="120"/>
      <w:ind w:left="420"/>
    </w:pPr>
    <w:rPr>
      <w:kern w:val="1"/>
    </w:rPr>
  </w:style>
  <w:style w:type="paragraph" w:styleId="11">
    <w:name w:val="Plain Text"/>
    <w:basedOn w:val="1"/>
    <w:link w:val="31"/>
    <w:uiPriority w:val="0"/>
    <w:rPr>
      <w:rFonts w:ascii="宋体" w:hAnsi="宋体" w:cs="Courier New"/>
      <w:kern w:val="1"/>
      <w:sz w:val="32"/>
      <w:szCs w:val="32"/>
    </w:rPr>
  </w:style>
  <w:style w:type="paragraph" w:styleId="12">
    <w:name w:val="Date"/>
    <w:basedOn w:val="1"/>
    <w:next w:val="1"/>
    <w:uiPriority w:val="0"/>
    <w:pPr>
      <w:ind w:left="100"/>
    </w:pPr>
    <w:rPr>
      <w:kern w:val="1"/>
      <w:sz w:val="28"/>
    </w:rPr>
  </w:style>
  <w:style w:type="paragraph" w:styleId="13">
    <w:name w:val="footer"/>
    <w:basedOn w:val="1"/>
    <w:link w:val="32"/>
    <w:uiPriority w:val="99"/>
    <w:pPr>
      <w:tabs>
        <w:tab w:val="center" w:pos="4153"/>
        <w:tab w:val="right" w:pos="8306"/>
      </w:tabs>
      <w:jc w:val="left"/>
    </w:pPr>
    <w:rPr>
      <w:kern w:val="1"/>
      <w:sz w:val="18"/>
      <w:szCs w:val="18"/>
    </w:rPr>
  </w:style>
  <w:style w:type="paragraph" w:styleId="14">
    <w:name w:val="header"/>
    <w:basedOn w:val="1"/>
    <w:link w:val="33"/>
    <w:uiPriority w:val="99"/>
    <w:pPr>
      <w:pBdr>
        <w:bottom w:val="single" w:color="000000" w:sz="6" w:space="1"/>
      </w:pBdr>
      <w:tabs>
        <w:tab w:val="center" w:pos="4153"/>
        <w:tab w:val="right" w:pos="8306"/>
      </w:tabs>
      <w:jc w:val="center"/>
    </w:pPr>
    <w:rPr>
      <w:kern w:val="1"/>
      <w:sz w:val="18"/>
      <w:szCs w:val="18"/>
    </w:rPr>
  </w:style>
  <w:style w:type="paragraph" w:styleId="15">
    <w:name w:val="toc 1"/>
    <w:basedOn w:val="1"/>
    <w:next w:val="1"/>
    <w:uiPriority w:val="0"/>
    <w:pPr>
      <w:spacing w:before="120" w:after="120"/>
    </w:pPr>
    <w:rPr>
      <w:b/>
      <w:bCs/>
      <w:caps/>
      <w:szCs w:val="24"/>
    </w:rPr>
  </w:style>
  <w:style w:type="paragraph" w:styleId="16">
    <w:name w:val="footnote text"/>
    <w:basedOn w:val="1"/>
    <w:next w:val="14"/>
    <w:qFormat/>
    <w:uiPriority w:val="0"/>
    <w:pPr>
      <w:snapToGrid w:val="0"/>
      <w:jc w:val="left"/>
    </w:pPr>
  </w:style>
  <w:style w:type="paragraph" w:styleId="17">
    <w:name w:val="Body Text Indent 3"/>
    <w:basedOn w:val="1"/>
    <w:uiPriority w:val="0"/>
    <w:pPr>
      <w:spacing w:after="120"/>
      <w:ind w:left="420"/>
    </w:pPr>
    <w:rPr>
      <w:kern w:val="1"/>
      <w:sz w:val="16"/>
      <w:szCs w:val="16"/>
    </w:rPr>
  </w:style>
  <w:style w:type="paragraph" w:styleId="18">
    <w:name w:val="toc 2"/>
    <w:basedOn w:val="1"/>
    <w:next w:val="1"/>
    <w:uiPriority w:val="39"/>
    <w:pPr>
      <w:ind w:left="420" w:leftChars="200"/>
    </w:pPr>
    <w:rPr>
      <w:rFonts w:ascii="宋体"/>
      <w:b/>
      <w:sz w:val="28"/>
      <w:szCs w:val="20"/>
    </w:rPr>
  </w:style>
  <w:style w:type="paragraph" w:styleId="19">
    <w:name w:val="Normal (Web)"/>
    <w:basedOn w:val="1"/>
    <w:uiPriority w:val="99"/>
    <w:pPr>
      <w:spacing w:before="100" w:beforeAutospacing="1" w:after="100" w:afterAutospacing="1"/>
      <w:ind w:left="0" w:right="0"/>
      <w:jc w:val="left"/>
    </w:pPr>
    <w:rPr>
      <w:kern w:val="0"/>
      <w:sz w:val="24"/>
      <w:lang w:val="en-US" w:eastAsia="zh-CN" w:bidi="ar"/>
    </w:rPr>
  </w:style>
  <w:style w:type="paragraph" w:styleId="20">
    <w:name w:val="Body Text First Indent"/>
    <w:basedOn w:val="9"/>
    <w:next w:val="1"/>
    <w:unhideWhenUsed/>
    <w:qFormat/>
    <w:uiPriority w:val="99"/>
    <w:pPr>
      <w:ind w:firstLine="420" w:firstLineChars="100"/>
    </w:pPr>
  </w:style>
  <w:style w:type="paragraph" w:styleId="21">
    <w:name w:val="Body Text First Indent 2"/>
    <w:basedOn w:val="10"/>
    <w:next w:val="18"/>
    <w:qFormat/>
    <w:uiPriority w:val="0"/>
    <w:pPr>
      <w:ind w:firstLine="420" w:firstLineChars="200"/>
    </w:pPr>
  </w:style>
  <w:style w:type="table" w:styleId="23">
    <w:name w:val="Table Grid"/>
    <w:basedOn w:val="22"/>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basedOn w:val="24"/>
    <w:uiPriority w:val="0"/>
  </w:style>
  <w:style w:type="character" w:styleId="27">
    <w:name w:val="Hyperlink"/>
    <w:basedOn w:val="24"/>
    <w:uiPriority w:val="0"/>
    <w:rPr>
      <w:color w:val="0000FF"/>
      <w:u w:val="single"/>
    </w:rPr>
  </w:style>
  <w:style w:type="character" w:customStyle="1" w:styleId="28">
    <w:name w:val="标题 1 Char"/>
    <w:basedOn w:val="24"/>
    <w:link w:val="2"/>
    <w:uiPriority w:val="99"/>
    <w:rPr>
      <w:b/>
      <w:bCs/>
      <w:color w:val="000000"/>
      <w:kern w:val="44"/>
      <w:sz w:val="44"/>
      <w:szCs w:val="44"/>
    </w:rPr>
  </w:style>
  <w:style w:type="character" w:customStyle="1" w:styleId="29">
    <w:name w:val="批注文字 Char"/>
    <w:basedOn w:val="24"/>
    <w:link w:val="8"/>
    <w:uiPriority w:val="99"/>
    <w:rPr>
      <w:color w:val="000000"/>
      <w:sz w:val="24"/>
    </w:rPr>
  </w:style>
  <w:style w:type="character" w:customStyle="1" w:styleId="30">
    <w:name w:val="正文文本 Char"/>
    <w:basedOn w:val="24"/>
    <w:link w:val="9"/>
    <w:uiPriority w:val="99"/>
    <w:rPr>
      <w:color w:val="000000"/>
      <w:kern w:val="1"/>
      <w:sz w:val="28"/>
      <w:szCs w:val="24"/>
    </w:rPr>
  </w:style>
  <w:style w:type="character" w:customStyle="1" w:styleId="31">
    <w:name w:val="纯文本 Char"/>
    <w:basedOn w:val="24"/>
    <w:link w:val="11"/>
    <w:uiPriority w:val="0"/>
    <w:rPr>
      <w:rFonts w:ascii="宋体" w:hAnsi="宋体" w:eastAsia="宋体" w:cs="Courier New"/>
      <w:color w:val="000000"/>
      <w:kern w:val="1"/>
      <w:sz w:val="32"/>
      <w:szCs w:val="32"/>
      <w:lang w:val="en-US" w:eastAsia="zh-CN" w:bidi="ar-SA"/>
    </w:rPr>
  </w:style>
  <w:style w:type="character" w:customStyle="1" w:styleId="32">
    <w:name w:val="页脚 Char"/>
    <w:basedOn w:val="24"/>
    <w:link w:val="13"/>
    <w:uiPriority w:val="99"/>
    <w:rPr>
      <w:color w:val="000000"/>
      <w:kern w:val="1"/>
      <w:sz w:val="18"/>
      <w:szCs w:val="18"/>
    </w:rPr>
  </w:style>
  <w:style w:type="character" w:customStyle="1" w:styleId="33">
    <w:name w:val="页眉 Char"/>
    <w:basedOn w:val="24"/>
    <w:link w:val="14"/>
    <w:uiPriority w:val="99"/>
    <w:rPr>
      <w:color w:val="000000"/>
      <w:kern w:val="1"/>
      <w:sz w:val="18"/>
      <w:szCs w:val="18"/>
    </w:rPr>
  </w:style>
  <w:style w:type="character" w:customStyle="1" w:styleId="34">
    <w:name w:val=" Char Char3"/>
    <w:basedOn w:val="24"/>
    <w:uiPriority w:val="0"/>
    <w:rPr>
      <w:kern w:val="1"/>
      <w:sz w:val="18"/>
      <w:szCs w:val="18"/>
    </w:rPr>
  </w:style>
  <w:style w:type="character" w:customStyle="1" w:styleId="35">
    <w:name w:val="font-title25"/>
    <w:basedOn w:val="24"/>
    <w:uiPriority w:val="0"/>
  </w:style>
  <w:style w:type="character" w:customStyle="1" w:styleId="36">
    <w:name w:val=" Char Char"/>
    <w:basedOn w:val="24"/>
    <w:uiPriority w:val="0"/>
    <w:rPr>
      <w:kern w:val="1"/>
      <w:sz w:val="16"/>
      <w:szCs w:val="16"/>
    </w:rPr>
  </w:style>
  <w:style w:type="character" w:customStyle="1" w:styleId="37">
    <w:name w:val="15"/>
    <w:basedOn w:val="24"/>
    <w:qFormat/>
    <w:uiPriority w:val="0"/>
    <w:rPr>
      <w:rFonts w:hint="default" w:ascii="Times New Roman" w:hAnsi="Times New Roman" w:cs="Times New Roman"/>
      <w:b/>
    </w:rPr>
  </w:style>
  <w:style w:type="character" w:customStyle="1" w:styleId="38">
    <w:name w:val=" Char Char2"/>
    <w:basedOn w:val="24"/>
    <w:uiPriority w:val="0"/>
    <w:rPr>
      <w:kern w:val="1"/>
      <w:sz w:val="18"/>
      <w:szCs w:val="18"/>
    </w:rPr>
  </w:style>
  <w:style w:type="character" w:customStyle="1" w:styleId="39">
    <w:name w:val="正文文字 Char Char"/>
    <w:basedOn w:val="24"/>
    <w:uiPriority w:val="0"/>
    <w:rPr>
      <w:rFonts w:eastAsia="宋体"/>
      <w:kern w:val="1"/>
      <w:sz w:val="28"/>
      <w:szCs w:val="24"/>
      <w:lang w:val="en-US" w:eastAsia="zh-CN" w:bidi="ar-SA"/>
    </w:rPr>
  </w:style>
  <w:style w:type="character" w:customStyle="1" w:styleId="40">
    <w:name w:val=" Char Char1"/>
    <w:basedOn w:val="24"/>
    <w:uiPriority w:val="0"/>
    <w:rPr>
      <w:kern w:val="1"/>
      <w:sz w:val="21"/>
      <w:szCs w:val="24"/>
    </w:rPr>
  </w:style>
  <w:style w:type="paragraph" w:customStyle="1" w:styleId="41">
    <w:name w:val="目录"/>
    <w:basedOn w:val="1"/>
    <w:uiPriority w:val="0"/>
    <w:pPr>
      <w:widowControl/>
      <w:jc w:val="center"/>
    </w:pPr>
    <w:rPr>
      <w:rFonts w:ascii="宋体" w:hAnsi="宋体"/>
      <w:b/>
      <w:sz w:val="36"/>
      <w:szCs w:val="20"/>
    </w:rPr>
  </w:style>
  <w:style w:type="paragraph" w:customStyle="1" w:styleId="42">
    <w:name w:val="样式 标题 2 + Times New Roman 四号 非加粗 段前: 5 磅 段后: 0 磅 行距: 固定值 20..."/>
    <w:basedOn w:val="3"/>
    <w:uiPriority w:val="0"/>
    <w:pPr>
      <w:widowControl w:val="0"/>
      <w:spacing w:before="100" w:after="0" w:line="400" w:lineRule="exact"/>
      <w:jc w:val="both"/>
    </w:pPr>
    <w:rPr>
      <w:rFonts w:ascii="Times New Roman" w:hAnsi="Times New Roman" w:cs="宋体"/>
      <w:b w:val="0"/>
      <w:sz w:val="28"/>
    </w:rPr>
  </w:style>
  <w:style w:type="paragraph" w:customStyle="1" w:styleId="4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44">
    <w:name w:val="xl31"/>
    <w:basedOn w:val="1"/>
    <w:uiPriority w:val="0"/>
    <w:pPr>
      <w:widowControl/>
      <w:spacing w:before="100" w:beforeAutospacing="1" w:after="100" w:afterAutospacing="1"/>
      <w:jc w:val="center"/>
    </w:pPr>
    <w:rPr>
      <w:rFonts w:ascii="宋体" w:hAnsi="宋体" w:cs="宋体"/>
      <w:b/>
      <w:sz w:val="28"/>
      <w:szCs w:val="28"/>
    </w:rPr>
  </w:style>
  <w:style w:type="paragraph" w:customStyle="1" w:styleId="45">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46">
    <w:name w:val="title13"/>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47">
    <w:name w:val="Char Char Char Char Char Char Char1 Char"/>
    <w:basedOn w:val="1"/>
    <w:uiPriority w:val="0"/>
    <w:rPr>
      <w:rFonts w:ascii="Tahoma" w:hAnsi="Tahoma" w:cs="Tahoma"/>
      <w:kern w:val="1"/>
      <w:sz w:val="24"/>
      <w:szCs w:val="32"/>
    </w:rPr>
  </w:style>
  <w:style w:type="paragraph" w:customStyle="1" w:styleId="48">
    <w:name w:val="Char1"/>
    <w:basedOn w:val="1"/>
    <w:uiPriority w:val="0"/>
    <w:pPr>
      <w:widowControl/>
      <w:spacing w:after="160" w:line="240" w:lineRule="exact"/>
      <w:jc w:val="left"/>
    </w:pPr>
    <w:rPr>
      <w:rFonts w:ascii="Verdana" w:hAnsi="Verdana" w:cs="Verdana"/>
      <w:sz w:val="20"/>
      <w:szCs w:val="20"/>
      <w:lang w:eastAsia="en-US"/>
    </w:rPr>
  </w:style>
  <w:style w:type="paragraph" w:styleId="49">
    <w:name w:val="List Paragraph"/>
    <w:basedOn w:val="1"/>
    <w:unhideWhenUsed/>
    <w:qFormat/>
    <w:uiPriority w:val="99"/>
    <w:pPr>
      <w:ind w:firstLine="420" w:firstLineChars="200"/>
    </w:pPr>
  </w:style>
  <w:style w:type="paragraph" w:customStyle="1" w:styleId="50">
    <w:name w:val="正文首行缩进两字符"/>
    <w:basedOn w:val="1"/>
    <w:uiPriority w:val="0"/>
    <w:pPr>
      <w:spacing w:line="360" w:lineRule="auto"/>
      <w:ind w:firstLine="200"/>
    </w:pPr>
    <w:rPr>
      <w:kern w:val="1"/>
    </w:rPr>
  </w:style>
  <w:style w:type="paragraph" w:customStyle="1" w:styleId="51">
    <w:name w:val=" Char Char Char"/>
    <w:basedOn w:val="1"/>
    <w:uiPriority w:val="0"/>
    <w:rPr>
      <w:rFonts w:ascii="Tahoma" w:hAnsi="Tahoma" w:cs="Tahoma"/>
      <w:kern w:val="1"/>
      <w:sz w:val="24"/>
      <w:szCs w:val="20"/>
    </w:rPr>
  </w:style>
  <w:style w:type="paragraph" w:customStyle="1" w:styleId="52">
    <w:name w:val="普通正文"/>
    <w:basedOn w:val="1"/>
    <w:uiPriority w:val="0"/>
    <w:pPr>
      <w:spacing w:before="120" w:after="120" w:line="360" w:lineRule="auto"/>
      <w:ind w:firstLine="480"/>
      <w:jc w:val="left"/>
    </w:pPr>
    <w:rPr>
      <w:rFonts w:ascii="Arial" w:hAnsi="Arial" w:cs="Arial"/>
      <w:sz w:val="24"/>
    </w:rPr>
  </w:style>
  <w:style w:type="paragraph" w:customStyle="1" w:styleId="53">
    <w:name w:val="Footer"/>
    <w:basedOn w:val="1"/>
    <w:qFormat/>
    <w:uiPriority w:val="0"/>
    <w:pPr>
      <w:tabs>
        <w:tab w:val="center" w:pos="4153"/>
        <w:tab w:val="right" w:pos="8306"/>
      </w:tabs>
      <w:snapToGrid w:val="0"/>
      <w:jc w:val="left"/>
    </w:pPr>
    <w:rPr>
      <w:sz w:val="18"/>
      <w:szCs w:val="18"/>
    </w:rPr>
  </w:style>
  <w:style w:type="paragraph" w:customStyle="1" w:styleId="54">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55">
    <w:name w:val=" Char Char Char Char"/>
    <w:basedOn w:val="1"/>
    <w:uiPriority w:val="0"/>
    <w:rPr>
      <w:szCs w:val="20"/>
    </w:rPr>
  </w:style>
  <w:style w:type="paragraph" w:customStyle="1" w:styleId="56">
    <w:name w:val="_Style 5"/>
    <w:basedOn w:val="2"/>
    <w:next w:val="1"/>
    <w:qFormat/>
    <w:uiPriority w:val="0"/>
    <w:pPr>
      <w:outlineLvl w:val="9"/>
    </w:pPr>
  </w:style>
  <w:style w:type="paragraph" w:customStyle="1" w:styleId="57">
    <w:name w:val="普通(网站) Char"/>
    <w:basedOn w:val="1"/>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58">
    <w:name w:val="title1"/>
    <w:basedOn w:val="1"/>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59">
    <w:name w:val="Char"/>
    <w:basedOn w:val="1"/>
    <w:uiPriority w:val="0"/>
    <w:rPr>
      <w:kern w:val="1"/>
      <w:sz w:val="24"/>
    </w:rPr>
  </w:style>
  <w:style w:type="paragraph" w:customStyle="1" w:styleId="60">
    <w:name w:val="p0"/>
    <w:basedOn w:val="1"/>
    <w:uiPriority w:val="0"/>
    <w:pPr>
      <w:widowControl/>
    </w:pPr>
    <w:rPr>
      <w:rFonts w:ascii="宋体" w:cs="Calibri"/>
      <w:color w:val="auto"/>
      <w:sz w:val="24"/>
      <w:szCs w:val="21"/>
    </w:rPr>
  </w:style>
  <w:style w:type="paragraph" w:customStyle="1" w:styleId="61">
    <w:name w:val="首行缩进"/>
    <w:basedOn w:val="1"/>
    <w:qFormat/>
    <w:uiPriority w:val="99"/>
    <w:pPr>
      <w:ind w:firstLine="480" w:firstLineChars="200"/>
    </w:pPr>
    <w:rPr>
      <w:szCs w:val="22"/>
      <w:lang w:val="zh-CN"/>
    </w:rPr>
  </w:style>
  <w:style w:type="paragraph" w:customStyle="1" w:styleId="6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22336</Words>
  <Characters>23346</Characters>
  <Lines>374</Lines>
  <Paragraphs>105</Paragraphs>
  <TotalTime>5</TotalTime>
  <ScaleCrop>false</ScaleCrop>
  <LinksUpToDate>false</LinksUpToDate>
  <CharactersWithSpaces>28411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2014-09-17T07:25:00Z</dcterms:created>
  <dc:creator>纪淑鸳</dc:creator>
  <cp:lastModifiedBy>念念</cp:lastModifiedBy>
  <cp:lastPrinted>2024-08-23T07:11:00Z</cp:lastPrinted>
  <dcterms:modified xsi:type="dcterms:W3CDTF">2025-11-18T08:03:40Z</dcterms:modified>
  <dc:title>西北农林科技大学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0252ABE9E8E348F1A6849194C273BF68_13</vt:lpwstr>
  </property>
  <property fmtid="{D5CDD505-2E9C-101B-9397-08002B2CF9AE}" pid="4" name="KSOTemplateDocerSaveRecord">
    <vt:lpwstr>eyJoZGlkIjoiN2U5ZmNkOWIwNTVkODE1NTg1Y2I3MTEzMmUwNGZlNWEiLCJ1c2VySWQiOiIzNDczMDgyMjIifQ==</vt:lpwstr>
  </property>
</Properties>
</file>