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版本号：HCF2025—CGZB—02020251118001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富平县职教中心教学楼、公寓楼及操场等建筑物修缮工程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HCF2025—CGZB—020</w:t>
      </w:r>
      <w:r>
        <w:br/>
      </w:r>
      <w:r>
        <w:br/>
      </w:r>
      <w:r>
        <w:br/>
      </w:r>
    </w:p>
    <w:p>
      <w:pPr>
        <w:pStyle w:val="null3"/>
        <w:jc w:val="center"/>
        <w:outlineLvl w:val="2"/>
      </w:pPr>
      <w:r>
        <w:rPr>
          <w:rFonts w:ascii="仿宋_GB2312" w:hAnsi="仿宋_GB2312" w:cs="仿宋_GB2312" w:eastAsia="仿宋_GB2312"/>
          <w:sz w:val="28"/>
          <w:b/>
        </w:rPr>
        <w:t>富平县职业教育中心</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富平县职业教育中心</w:t>
      </w:r>
      <w:r>
        <w:rPr>
          <w:rFonts w:ascii="仿宋_GB2312" w:hAnsi="仿宋_GB2312" w:cs="仿宋_GB2312" w:eastAsia="仿宋_GB2312"/>
        </w:rPr>
        <w:t>委托，拟对</w:t>
      </w:r>
      <w:r>
        <w:rPr>
          <w:rFonts w:ascii="仿宋_GB2312" w:hAnsi="仿宋_GB2312" w:cs="仿宋_GB2312" w:eastAsia="仿宋_GB2312"/>
        </w:rPr>
        <w:t>富平县职教中心教学楼、公寓楼及操场等建筑物修缮工程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HCF2025—CGZB—020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富平县职教中心教学楼、公寓楼及操场等建筑物修缮工程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富平县职教中心教学楼、公寓楼及操场等建筑物修缮工程，主要建设内容为教学楼、公寓楼、食堂及室外配套等修缮工程。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采购包1（富平县职教中心教学楼、公寓楼及操场等建筑物修缮工程）：属于专门面向中小企业采购。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要求：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授权委托要求：法定代表人参加投标只须提供法定代表人身份证明书（附法定代表人身份证复印件或扫描件）；被授权人参加投标只须提供法定代表人授权委托书（附法定代表人、被授权人身份证复印件或扫描件）；</w:t>
      </w:r>
    </w:p>
    <w:p>
      <w:pPr>
        <w:pStyle w:val="null3"/>
      </w:pPr>
      <w:r>
        <w:rPr>
          <w:rFonts w:ascii="仿宋_GB2312" w:hAnsi="仿宋_GB2312" w:cs="仿宋_GB2312" w:eastAsia="仿宋_GB2312"/>
        </w:rPr>
        <w:t>3、资质和专业要求：具备建筑工程施工总承包三级及以上资质；</w:t>
      </w:r>
    </w:p>
    <w:p>
      <w:pPr>
        <w:pStyle w:val="null3"/>
      </w:pPr>
      <w:r>
        <w:rPr>
          <w:rFonts w:ascii="仿宋_GB2312" w:hAnsi="仿宋_GB2312" w:cs="仿宋_GB2312" w:eastAsia="仿宋_GB2312"/>
        </w:rPr>
        <w:t>4、安全生产许可证要求：具有建设行政主管部门核发有效的安全生产许可证；</w:t>
      </w:r>
    </w:p>
    <w:p>
      <w:pPr>
        <w:pStyle w:val="null3"/>
      </w:pPr>
      <w:r>
        <w:rPr>
          <w:rFonts w:ascii="仿宋_GB2312" w:hAnsi="仿宋_GB2312" w:cs="仿宋_GB2312" w:eastAsia="仿宋_GB2312"/>
        </w:rPr>
        <w:t>5、拟派项目经理资质和专业要求：拟派项目经理须具备建筑工程注册建造师二级及以上资格和有效的安全生产考核证书，须提供项目经理无在建工程的相关证明材料或承诺书；</w:t>
      </w:r>
    </w:p>
    <w:p>
      <w:pPr>
        <w:pStyle w:val="null3"/>
      </w:pPr>
      <w:r>
        <w:rPr>
          <w:rFonts w:ascii="仿宋_GB2312" w:hAnsi="仿宋_GB2312" w:cs="仿宋_GB2312" w:eastAsia="仿宋_GB2312"/>
        </w:rPr>
        <w:t>6、财务状况要求：提供2024年经审计的财务报告（供应商注册时间截至磋商响应文件提交截止日不足一年的可提供成立后任意时段的财务报表，也可提供在工商管理部门备案的公司章程）；</w:t>
      </w:r>
    </w:p>
    <w:p>
      <w:pPr>
        <w:pStyle w:val="null3"/>
      </w:pPr>
      <w:r>
        <w:rPr>
          <w:rFonts w:ascii="仿宋_GB2312" w:hAnsi="仿宋_GB2312" w:cs="仿宋_GB2312" w:eastAsia="仿宋_GB2312"/>
        </w:rPr>
        <w:t>7、缴纳税收的要求：提供依法缴纳税收的良好记录（提供磋商响应文件递交截止时间前六个月内任意一个月份的缴纳凭据复印件或扫描件。依法免税或开标前一年内零申报的供应商应提供相关证明文件）；</w:t>
      </w:r>
    </w:p>
    <w:p>
      <w:pPr>
        <w:pStyle w:val="null3"/>
      </w:pPr>
      <w:r>
        <w:rPr>
          <w:rFonts w:ascii="仿宋_GB2312" w:hAnsi="仿宋_GB2312" w:cs="仿宋_GB2312" w:eastAsia="仿宋_GB2312"/>
        </w:rPr>
        <w:t>8、缴纳社会保障资金的要求：提供依法缴纳社会保障资金的良好记录（提供磋商响应文件递交截止时间前六个月内任意一个月份的缴纳凭据复印件或扫描件。依法不需要缴纳社会保障资金的供应商应提供相关证明文件）；</w:t>
      </w:r>
    </w:p>
    <w:p>
      <w:pPr>
        <w:pStyle w:val="null3"/>
      </w:pPr>
      <w:r>
        <w:rPr>
          <w:rFonts w:ascii="仿宋_GB2312" w:hAnsi="仿宋_GB2312" w:cs="仿宋_GB2312" w:eastAsia="仿宋_GB2312"/>
        </w:rPr>
        <w:t>9、信誉要求：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p>
      <w:pPr>
        <w:pStyle w:val="null3"/>
      </w:pPr>
      <w:r>
        <w:rPr>
          <w:rFonts w:ascii="仿宋_GB2312" w:hAnsi="仿宋_GB2312" w:cs="仿宋_GB2312" w:eastAsia="仿宋_GB2312"/>
        </w:rPr>
        <w:t>10、无重大违法记录的要求：提供近三年内在经营活动中无重大违法记录的书面声明；</w:t>
      </w:r>
    </w:p>
    <w:p>
      <w:pPr>
        <w:pStyle w:val="null3"/>
      </w:pPr>
      <w:r>
        <w:rPr>
          <w:rFonts w:ascii="仿宋_GB2312" w:hAnsi="仿宋_GB2312" w:cs="仿宋_GB2312" w:eastAsia="仿宋_GB2312"/>
        </w:rPr>
        <w:t>11、磋商保证金要求：提供磋商保证金银行转账凭证及基本存款账户信息证明资料或金融机构、担保机构出具的保函复印件或扫描件；</w:t>
      </w:r>
    </w:p>
    <w:p>
      <w:pPr>
        <w:pStyle w:val="null3"/>
      </w:pPr>
      <w:r>
        <w:rPr>
          <w:rFonts w:ascii="仿宋_GB2312" w:hAnsi="仿宋_GB2312" w:cs="仿宋_GB2312" w:eastAsia="仿宋_GB2312"/>
        </w:rPr>
        <w:t>12、单位负责人为同一人或者存在直接控股、管理关系的不同供应商，不得参加同一合同项下的政府采购活动的要求：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13、具有履行合同所必需的设备和专业技术能力的要求：提供具有履行本合同所必需的设备和专业技术能力的说明及承诺；</w:t>
      </w:r>
    </w:p>
    <w:p>
      <w:pPr>
        <w:pStyle w:val="null3"/>
      </w:pPr>
      <w:r>
        <w:rPr>
          <w:rFonts w:ascii="仿宋_GB2312" w:hAnsi="仿宋_GB2312" w:cs="仿宋_GB2312" w:eastAsia="仿宋_GB2312"/>
        </w:rPr>
        <w:t>14、面向中小企业采购政策落实情况：本项目专门面向中小企业采购，供应商须提供《中小企业声明函》。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富平县G5京昆高速入口路口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0913-82366205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0913-8219328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银行账号：30208471002615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印发《招标代理服务收费管理暂行办法》的通知(计价格[2002]1980号)计算下浮25%收取（计费基数为扣除专业工程暂估价、暂列金后的中标金额），不计入工程造价，按照《国家发展改革委办公厅关于招标代理服务收费有关问题的通知》(发改办价格[2003]857号)规定收取，由成交供应商先行代付；造价咨询服务费按陕西省《关于我省工程造价咨询服务收费标准有关问题》的通知（陕价行发[2014]88号文件）计算下浮28%收取（计费基数为扣除专业工程暂估价、暂列金后的财政评审审定金额），不计入工程造价，由成交供应商先行代付；在领取中标（成交）通知书时向采购代理机构一次付清（现金或转账），具体金额以代理机构开具的税票为准；此费用最终由采购人在工程决算时一并支付给成交供应商。若本次招标失败（非代理机构原因），招标代理服务费由采购人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富平县职业教育中心</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富平县职业教育中心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联系电话：0913-8219328</w:t>
      </w:r>
    </w:p>
    <w:p>
      <w:pPr>
        <w:pStyle w:val="null3"/>
      </w:pPr>
      <w:r>
        <w:rPr>
          <w:rFonts w:ascii="仿宋_GB2312" w:hAnsi="仿宋_GB2312" w:cs="仿宋_GB2312" w:eastAsia="仿宋_GB2312"/>
        </w:rPr>
        <w:t>地址：陕西省渭南市富平县紫御台B区商务楼四层</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3,581,564.36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富平县职教中心教学楼、公寓楼及操场等建筑物修缮工程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标的名称：富平县职教中心教学楼、公寓楼及操场等建筑物修缮工程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清单编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富平县职教中心教学楼、公寓楼及操场等建筑物修缮工程</w:t>
            </w:r>
            <w:r>
              <w:rPr>
                <w:rFonts w:ascii="仿宋_GB2312" w:hAnsi="仿宋_GB2312" w:cs="仿宋_GB2312" w:eastAsia="仿宋_GB2312"/>
                <w:sz w:val="24"/>
              </w:rPr>
              <w:t>，</w:t>
            </w:r>
            <w:r>
              <w:rPr>
                <w:rFonts w:ascii="仿宋_GB2312" w:hAnsi="仿宋_GB2312" w:cs="仿宋_GB2312" w:eastAsia="仿宋_GB2312"/>
                <w:sz w:val="24"/>
                <w:color w:val="000000"/>
              </w:rPr>
              <w:t>主要建设内容为教学楼、公寓楼、食堂及室外配套等修缮工程。</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w:t>
            </w:r>
            <w:r>
              <w:rPr>
                <w:rFonts w:ascii="仿宋_GB2312" w:hAnsi="仿宋_GB2312" w:cs="仿宋_GB2312" w:eastAsia="仿宋_GB2312"/>
                <w:sz w:val="24"/>
                <w:color w:val="000000"/>
              </w:rPr>
              <w:t>设</w:t>
            </w:r>
            <w:r>
              <w:rPr>
                <w:rFonts w:ascii="仿宋_GB2312" w:hAnsi="仿宋_GB2312" w:cs="仿宋_GB2312" w:eastAsia="仿宋_GB2312"/>
                <w:sz w:val="24"/>
                <w:color w:val="000000"/>
              </w:rPr>
              <w:t>工程工程量清单计价</w:t>
            </w:r>
            <w:r>
              <w:rPr>
                <w:rFonts w:ascii="仿宋_GB2312" w:hAnsi="仿宋_GB2312" w:cs="仿宋_GB2312" w:eastAsia="仿宋_GB2312"/>
                <w:sz w:val="24"/>
                <w:color w:val="000000"/>
              </w:rPr>
              <w:t>标准及计算标准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通用安装工程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市政工程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省园林绿化工程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通用安装工程基价表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省市政工程基价表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省园林绿化工程基价表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 采用广联达云计价平台GCCP</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7.5000.23.2</w:t>
            </w:r>
            <w:r>
              <w:rPr>
                <w:rFonts w:ascii="仿宋_GB2312" w:hAnsi="仿宋_GB2312" w:cs="仿宋_GB2312" w:eastAsia="仿宋_GB2312"/>
                <w:sz w:val="24"/>
                <w:color w:val="000000"/>
              </w:rPr>
              <w:t>）版本编制。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1.工程预留金12万元已计入力行楼其他项目费中；</w:t>
            </w:r>
          </w:p>
          <w:p>
            <w:pPr>
              <w:pStyle w:val="null3"/>
              <w:spacing w:before="150" w:after="150"/>
              <w:ind w:firstLine="480"/>
              <w:jc w:val="both"/>
            </w:pPr>
            <w:r>
              <w:rPr>
                <w:rFonts w:ascii="仿宋_GB2312" w:hAnsi="仿宋_GB2312" w:cs="仿宋_GB2312" w:eastAsia="仿宋_GB2312"/>
                <w:sz w:val="24"/>
              </w:rPr>
              <w:t>2.气体灭火系统调试费2800元/项；发电机房电池与发电机连接维修调试费用2100元/项；缓闭止回阀调试800元/项；喷淋管道打压注水及漏点维修15200元/项；处理气瓶接地故障420元/项；气瓶检验服务840元/瓶组项；气体灭火装置拆除安装及运费1750元/项；稳压装置维修及调试1400元/项；消火栓管道打压注水及漏点维修15200元/项；柴油发电机维修保养4200元/项；维修调试故障点位45000元/项；广播控制盘维修调试费4200元/项；防火门监控维修调试费4200元/项；接地线处理420元/项；维修消防水池4200元/项；风机控制柜及风机调试维修10000元/项。</w:t>
            </w:r>
          </w:p>
          <w:p>
            <w:pPr>
              <w:pStyle w:val="null3"/>
              <w:spacing w:before="150" w:after="150"/>
              <w:ind w:firstLine="480"/>
              <w:jc w:val="both"/>
            </w:pPr>
            <w:r>
              <w:rPr>
                <w:rFonts w:ascii="仿宋_GB2312" w:hAnsi="仿宋_GB2312" w:cs="仿宋_GB2312" w:eastAsia="仿宋_GB2312"/>
                <w:sz w:val="24"/>
              </w:rPr>
              <w:t>3、具体工程量清单详见附件。</w:t>
            </w:r>
          </w:p>
          <w:p>
            <w:pPr>
              <w:pStyle w:val="null3"/>
              <w:spacing w:before="150" w:after="150"/>
              <w:ind w:firstLine="48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符合国家、行业相关标准及要求，质量达到合格。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合同签订后60日历天内施工完毕；2、付款方式：合同签订后付合同价款的30%，施工完毕初验合格后付至合同价款的80%，待工程决算审计报告双方签字盖章认可后，付至审定价款的97%，剩余3%缺陷责任期满后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1、投标时供应商无需提供纸质版响应文件。成交供应商在领取成交通知书前将纸质版响应文件打印胶装3份、电子版（U 盘）文件3份提交至采购代理机构处，以便采购人进行留存备案等工作，成交供应商应保持响应文件纸质版内容与电子版内容完全一致，否则将承担一切法律责任。纸质版响应文件一律采用书籍（胶装）方式装订且单面或双面打 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 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可提供2024年经审计的财务报告（供应商注册时间截至磋商响应文件提交截止日不足一年的可提供成立后任意时段的财务报表，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营业执照或其他要求</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授权委托要求</w:t>
            </w:r>
          </w:p>
        </w:tc>
        <w:tc>
          <w:tcPr>
            <w:tcW w:type="dxa" w:w="3322"/>
          </w:tcPr>
          <w:p>
            <w:pPr>
              <w:pStyle w:val="null3"/>
            </w:pPr>
            <w:r>
              <w:rPr>
                <w:rFonts w:ascii="仿宋_GB2312" w:hAnsi="仿宋_GB2312" w:cs="仿宋_GB2312" w:eastAsia="仿宋_GB2312"/>
              </w:rPr>
              <w:t>法定代表人参加投标只须提供法定代表人身份证明书（附法定代表人身份证复印件或扫描件）；被授权人参加投标只须提供法定代表人授权委托书（附法定代表人、被授权人身份证复印件或扫描件）；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资质和专业要求</w:t>
            </w:r>
          </w:p>
        </w:tc>
        <w:tc>
          <w:tcPr>
            <w:tcW w:type="dxa" w:w="3322"/>
          </w:tcPr>
          <w:p>
            <w:pPr>
              <w:pStyle w:val="null3"/>
            </w:pPr>
            <w:r>
              <w:rPr>
                <w:rFonts w:ascii="仿宋_GB2312" w:hAnsi="仿宋_GB2312" w:cs="仿宋_GB2312" w:eastAsia="仿宋_GB2312"/>
              </w:rPr>
              <w:t>具备建筑工程施工总承包三级及以上资质；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安全生产许可证要求</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拟派项目经理须具备建筑工程注册建造师二级及以上资格和有效的安全生产考核证书，须提供项目经理无在建工程的相关证明材料或承诺书；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 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财务状况要求</w:t>
            </w:r>
          </w:p>
        </w:tc>
        <w:tc>
          <w:tcPr>
            <w:tcW w:type="dxa" w:w="3322"/>
          </w:tcPr>
          <w:p>
            <w:pPr>
              <w:pStyle w:val="null3"/>
            </w:pPr>
            <w:r>
              <w:rPr>
                <w:rFonts w:ascii="仿宋_GB2312" w:hAnsi="仿宋_GB2312" w:cs="仿宋_GB2312" w:eastAsia="仿宋_GB2312"/>
              </w:rPr>
              <w:t>提供2024年经审计的财务报告（供应商注册时间截至磋商响应文件提交截止日不足一年的可提供成立后任意时段的财务报表，也可提供在工商管理部门备案的公司章程）；</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缴纳税收的要求</w:t>
            </w:r>
          </w:p>
        </w:tc>
        <w:tc>
          <w:tcPr>
            <w:tcW w:type="dxa" w:w="3322"/>
          </w:tcPr>
          <w:p>
            <w:pPr>
              <w:pStyle w:val="null3"/>
            </w:pPr>
            <w:r>
              <w:rPr>
                <w:rFonts w:ascii="仿宋_GB2312" w:hAnsi="仿宋_GB2312" w:cs="仿宋_GB2312" w:eastAsia="仿宋_GB2312"/>
              </w:rPr>
              <w:t>提供依法缴纳税收的良好记录（提供磋商响应文件递交截止时间前六个月内任意一个月份的缴纳凭据复印件或扫描件。依法免税或开标前一年内零申报的供应商应提供相关证明文件）；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缴纳社会保障资金的要求</w:t>
            </w:r>
          </w:p>
        </w:tc>
        <w:tc>
          <w:tcPr>
            <w:tcW w:type="dxa" w:w="3322"/>
          </w:tcPr>
          <w:p>
            <w:pPr>
              <w:pStyle w:val="null3"/>
            </w:pPr>
            <w:r>
              <w:rPr>
                <w:rFonts w:ascii="仿宋_GB2312" w:hAnsi="仿宋_GB2312" w:cs="仿宋_GB2312" w:eastAsia="仿宋_GB2312"/>
              </w:rPr>
              <w:t>提供依法缴纳社会保障资金的良好记录（提供磋商响应文件递交截止时间前六个月内任意一个月份的缴纳凭据复印件或扫描件。依法不需要缴纳社会保障资金的供应商应提供相关证明文件）；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无重大违法记录的要求</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磋商保证金要求</w:t>
            </w:r>
          </w:p>
        </w:tc>
        <w:tc>
          <w:tcPr>
            <w:tcW w:type="dxa" w:w="3322"/>
          </w:tcPr>
          <w:p>
            <w:pPr>
              <w:pStyle w:val="null3"/>
            </w:pPr>
            <w:r>
              <w:rPr>
                <w:rFonts w:ascii="仿宋_GB2312" w:hAnsi="仿宋_GB2312" w:cs="仿宋_GB2312" w:eastAsia="仿宋_GB2312"/>
              </w:rPr>
              <w:t>提供磋商保证金银行转账凭证及基本存款账户信息证明资料或金融机构、担保机构出具的保函复印件或扫描件；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单位负责人为同一人或者存在直接控股、管理关系的不同供应商，不得参加同一合同项下的政府采购活动的要求</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具有履行合同所必需的设备和专业技术能力的要求</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面向中小企业采购政策落实情况</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供应商特定资格要求.docx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内容无重大缺漏项，报价唯一，且不高于本项目最高限价。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1、项目经理具有中级职称的得2分，高级及以上职称得3分。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注：须附类似项目业绩的成交（中标）通知书或合同或竣工验收证明材料复印件或扫描件），以提供证明资料的落款时间为准。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经资格审查合格及符合性审查合格的磋商响应文件，其磋商报价有效；将满足磋商文件要求且最后报价最低的供应商的价格作为磋商基准价，其价格分为满分（30分）；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