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版本号：ZZT-CG-2025110220251124001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富平县城关、东华两个街道办镇级国土空间规划编制工作项目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ZZT-CG-20251102</w:t>
      </w:r>
      <w:r>
        <w:br/>
      </w:r>
      <w:r>
        <w:br/>
      </w:r>
      <w:r>
        <w:br/>
      </w:r>
    </w:p>
    <w:p>
      <w:pPr>
        <w:pStyle w:val="null3"/>
        <w:jc w:val="center"/>
        <w:outlineLvl w:val="2"/>
      </w:pPr>
      <w:r>
        <w:rPr>
          <w:rFonts w:ascii="仿宋_GB2312" w:hAnsi="仿宋_GB2312" w:cs="仿宋_GB2312" w:eastAsia="仿宋_GB2312"/>
          <w:sz w:val="28"/>
          <w:b/>
        </w:rPr>
        <w:t>富平县自然资源局（本级）</w:t>
      </w:r>
    </w:p>
    <w:p>
      <w:pPr>
        <w:pStyle w:val="null3"/>
        <w:jc w:val="center"/>
        <w:outlineLvl w:val="2"/>
      </w:pPr>
      <w:r>
        <w:rPr>
          <w:rFonts w:ascii="仿宋_GB2312" w:hAnsi="仿宋_GB2312" w:cs="仿宋_GB2312" w:eastAsia="仿宋_GB2312"/>
          <w:sz w:val="28"/>
          <w:b/>
        </w:rPr>
        <w:t>中智投工程管理有限公司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中智投工程管理有限公司</w:t>
      </w:r>
      <w:r>
        <w:rPr>
          <w:rFonts w:ascii="仿宋_GB2312" w:hAnsi="仿宋_GB2312" w:cs="仿宋_GB2312" w:eastAsia="仿宋_GB2312"/>
        </w:rPr>
        <w:t>（以下简称“代理机构”）受</w:t>
      </w:r>
      <w:r>
        <w:rPr>
          <w:rFonts w:ascii="仿宋_GB2312" w:hAnsi="仿宋_GB2312" w:cs="仿宋_GB2312" w:eastAsia="仿宋_GB2312"/>
        </w:rPr>
        <w:t>富平县自然资源局（本级）</w:t>
      </w:r>
      <w:r>
        <w:rPr>
          <w:rFonts w:ascii="仿宋_GB2312" w:hAnsi="仿宋_GB2312" w:cs="仿宋_GB2312" w:eastAsia="仿宋_GB2312"/>
        </w:rPr>
        <w:t>委托，拟对</w:t>
      </w:r>
      <w:r>
        <w:rPr>
          <w:rFonts w:ascii="仿宋_GB2312" w:hAnsi="仿宋_GB2312" w:cs="仿宋_GB2312" w:eastAsia="仿宋_GB2312"/>
        </w:rPr>
        <w:t>富平县城关、东华两个街道办镇级国土空间规划编制工作项目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ZZT-CG-20251102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富平县城关、东华两个街道办镇级国土空间规划编制工作项目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富平县人民政府办公室关于印发富平县镇级国土空间总体规划(2021年-2035年)编制工作方案的通知》(富政办发(2022]16号)以及《渭南市镇级国土空间总体规划审查报批办法》文件精神，我县城关街道办、东华街道办并非全域位于中心城区城镇开发边界内，按规定需要单独编制镇级国土空间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采购包1（富平县城关街道国土空间规划（2021-2035年）编制工作）：属于专门面向中小企业采购。</w:t>
      </w:r>
    </w:p>
    <w:p>
      <w:pPr>
        <w:pStyle w:val="null3"/>
      </w:pPr>
      <w:r>
        <w:rPr>
          <w:rFonts w:ascii="仿宋_GB2312" w:hAnsi="仿宋_GB2312" w:cs="仿宋_GB2312" w:eastAsia="仿宋_GB2312"/>
        </w:rPr>
        <w:t>采购包2（富平县东华街道国土空间规划（2021-2035年）编制工作）：属于专门面向中小企业采购。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2、法定代表人授权委托书：供应商应授权合法的人员参加磋商，其中法定代表人直接参加的，须附法定代表人身份证，并与营业执照上信息一致；被授权代表参加的，须附法定代表人授权书及被授权人身份证；</w:t>
      </w:r>
    </w:p>
    <w:p>
      <w:pPr>
        <w:pStyle w:val="null3"/>
      </w:pPr>
      <w:r>
        <w:rPr>
          <w:rFonts w:ascii="仿宋_GB2312" w:hAnsi="仿宋_GB2312" w:cs="仿宋_GB2312" w:eastAsia="仿宋_GB2312"/>
        </w:rPr>
        <w:t>3、项目负责人：项目负责人具有城乡规划类或土地规划类专业中级及以上职称，且在本单位缴纳社保；</w:t>
      </w:r>
    </w:p>
    <w:p>
      <w:pPr>
        <w:pStyle w:val="null3"/>
      </w:pPr>
      <w:r>
        <w:rPr>
          <w:rFonts w:ascii="仿宋_GB2312" w:hAnsi="仿宋_GB2312" w:cs="仿宋_GB2312" w:eastAsia="仿宋_GB2312"/>
        </w:rPr>
        <w:t>4、资质证书：供应商须具备相关行政主管部门颁发的城乡规划编制乙级及以上或土地规划编制乙级及以上资质证书；</w:t>
      </w:r>
    </w:p>
    <w:p>
      <w:pPr>
        <w:pStyle w:val="null3"/>
      </w:pPr>
      <w:r>
        <w:rPr>
          <w:rFonts w:ascii="仿宋_GB2312" w:hAnsi="仿宋_GB2312" w:cs="仿宋_GB2312" w:eastAsia="仿宋_GB2312"/>
        </w:rPr>
        <w:t>5、社会保障资金证明：提供 2025 年1月 1 日以来已缴存的至少三个月的社会保障资金缴存单据或社保机构开具的社会保险参保缴费情况证明。依法不需要缴纳社会保障资金的供应商应提供相关文件证明；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6、依法缴纳税收证明：提供 2025年 1 月 1 日以来已缴纳的至少三个月的纳税证明或完税证明，纳税证明或完税证明上应有代收机构或税务机关的公章。依法免税的供应商应提供相关文件证明；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7、健全的财务会计制度：供应商须提供 2024年度的财务审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pPr>
        <w:pStyle w:val="null3"/>
      </w:pPr>
      <w:r>
        <w:rPr>
          <w:rFonts w:ascii="仿宋_GB2312" w:hAnsi="仿宋_GB2312" w:cs="仿宋_GB2312" w:eastAsia="仿宋_GB2312"/>
        </w:rPr>
        <w:t>9、书面声明：参加本次政府采购活动前三年内在经营活动中没有重大违纪的书面声明；</w:t>
      </w:r>
    </w:p>
    <w:p>
      <w:pPr>
        <w:pStyle w:val="null3"/>
      </w:pPr>
      <w:r>
        <w:rPr>
          <w:rFonts w:ascii="仿宋_GB2312" w:hAnsi="仿宋_GB2312" w:cs="仿宋_GB2312" w:eastAsia="仿宋_GB2312"/>
        </w:rPr>
        <w:t>10、书面承诺：提供具有履行本合同所必需的设备和专业技术能力的说明（提供书面承诺）；</w:t>
      </w:r>
    </w:p>
    <w:p>
      <w:pPr>
        <w:pStyle w:val="null3"/>
      </w:pPr>
      <w:r>
        <w:rPr>
          <w:rFonts w:ascii="仿宋_GB2312" w:hAnsi="仿宋_GB2312" w:cs="仿宋_GB2312" w:eastAsia="仿宋_GB2312"/>
        </w:rPr>
        <w:t>11、书面承诺：书面承诺 供应商单位负责人为同一人或者存在直接控股、管理关系的，不得参加同一合同项下的政府采购活动（提供书面承诺）。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2、法定代表人授权委托书：供应商应授权合法的人员参加磋商，其中法定代表人直接参加的，须附法定代表人身份证，并与营业执照上信息一致；被授权代表参加的，须附法定代表人授权书及被授权人身份证；</w:t>
      </w:r>
    </w:p>
    <w:p>
      <w:pPr>
        <w:pStyle w:val="null3"/>
      </w:pPr>
      <w:r>
        <w:rPr>
          <w:rFonts w:ascii="仿宋_GB2312" w:hAnsi="仿宋_GB2312" w:cs="仿宋_GB2312" w:eastAsia="仿宋_GB2312"/>
        </w:rPr>
        <w:t>3、项目负责人：项目负责人具有城乡规划类或土地规划类专业中级及以上职称，且在本单位缴纳社保；</w:t>
      </w:r>
    </w:p>
    <w:p>
      <w:pPr>
        <w:pStyle w:val="null3"/>
      </w:pPr>
      <w:r>
        <w:rPr>
          <w:rFonts w:ascii="仿宋_GB2312" w:hAnsi="仿宋_GB2312" w:cs="仿宋_GB2312" w:eastAsia="仿宋_GB2312"/>
        </w:rPr>
        <w:t>4、资质证书：供应商须具备相关行政主管部门颁发的城乡规划编制乙级及以上或土地规划编制乙级及以上资质证书；</w:t>
      </w:r>
    </w:p>
    <w:p>
      <w:pPr>
        <w:pStyle w:val="null3"/>
      </w:pPr>
      <w:r>
        <w:rPr>
          <w:rFonts w:ascii="仿宋_GB2312" w:hAnsi="仿宋_GB2312" w:cs="仿宋_GB2312" w:eastAsia="仿宋_GB2312"/>
        </w:rPr>
        <w:t>5、社会保障资金证明：提供 2025 年1月 1 日以来已缴存的至少三个月的社会保障资金缴存单据或社保机构开具的社会保险参保缴费情况证明。依法不需要缴纳社会保障资金的供应商应提供相关文件证明；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6、依法缴纳税收证明：提供 2025年 1 月 1 日以来已缴纳的至少三个月的纳税证明或完税证明，纳税证明或完税证明上应有代收机构或税务机关的公章。依法免税的供应商应提供相关文件证明；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7、健全的财务会计制度：供应商须提供 2024年度的财务审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pPr>
        <w:pStyle w:val="null3"/>
      </w:pPr>
      <w:r>
        <w:rPr>
          <w:rFonts w:ascii="仿宋_GB2312" w:hAnsi="仿宋_GB2312" w:cs="仿宋_GB2312" w:eastAsia="仿宋_GB2312"/>
        </w:rPr>
        <w:t>9、书面声明：参加本次政府采购活动前三年内在经营活动中没有重大违纪的书面声明；</w:t>
      </w:r>
    </w:p>
    <w:p>
      <w:pPr>
        <w:pStyle w:val="null3"/>
      </w:pPr>
      <w:r>
        <w:rPr>
          <w:rFonts w:ascii="仿宋_GB2312" w:hAnsi="仿宋_GB2312" w:cs="仿宋_GB2312" w:eastAsia="仿宋_GB2312"/>
        </w:rPr>
        <w:t>10、书面承诺：提供具有履行本合同所必需的设备和专业技术能力的说明（提供书面承诺）；</w:t>
      </w:r>
    </w:p>
    <w:p>
      <w:pPr>
        <w:pStyle w:val="null3"/>
      </w:pPr>
      <w:r>
        <w:rPr>
          <w:rFonts w:ascii="仿宋_GB2312" w:hAnsi="仿宋_GB2312" w:cs="仿宋_GB2312" w:eastAsia="仿宋_GB2312"/>
        </w:rPr>
        <w:t>11、书面承诺：供应商单位负责人为同一人或者存在直接控股、管理关系的，不得参加同一合同项下的政府采购活动（提供书面承诺）。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富平县自然资源局（本级）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富平县莲湖大街东段83号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王晓东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13991686586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中智投工程管理有限公司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陕西省西安市未央区陕西省西安市未央区渭滨路70号水晶卡芭拉11号楼1单元11301室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18392944018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开户名称：中智投工程管理有限公司富平县分公司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银行账号：61050164830800003047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富平县自然资源局（本级）</w:t>
      </w:r>
      <w:r>
        <w:rPr>
          <w:rFonts w:ascii="仿宋_GB2312" w:hAnsi="仿宋_GB2312" w:cs="仿宋_GB2312" w:eastAsia="仿宋_GB2312"/>
        </w:rPr>
        <w:t>和</w:t>
      </w:r>
      <w:r>
        <w:rPr>
          <w:rFonts w:ascii="仿宋_GB2312" w:hAnsi="仿宋_GB2312" w:cs="仿宋_GB2312" w:eastAsia="仿宋_GB2312"/>
        </w:rPr>
        <w:t>中智投工程管理有限公司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富平县自然资源局（本级）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中智投工程管理有限公司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富平县自然资源局（本级）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中智投工程管理有限公司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以磋商文件及合同约定为准。验收依据：合同文本，磋商文件，磋商响应文件，供应商满足国家或行业规范执行标准。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以磋商文件及合同约定为准。验收依据：合同文本，磋商文件，磋商响应文件，供应商满足国家或行业规范执行标准。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联系人：卢苗</w:t>
      </w:r>
    </w:p>
    <w:p>
      <w:pPr>
        <w:pStyle w:val="null3"/>
      </w:pPr>
      <w:r>
        <w:rPr>
          <w:rFonts w:ascii="仿宋_GB2312" w:hAnsi="仿宋_GB2312" w:cs="仿宋_GB2312" w:eastAsia="仿宋_GB2312"/>
        </w:rPr>
        <w:t>联系电话：18392944018</w:t>
      </w:r>
    </w:p>
    <w:p>
      <w:pPr>
        <w:pStyle w:val="null3"/>
      </w:pPr>
      <w:r>
        <w:rPr>
          <w:rFonts w:ascii="仿宋_GB2312" w:hAnsi="仿宋_GB2312" w:cs="仿宋_GB2312" w:eastAsia="仿宋_GB2312"/>
        </w:rPr>
        <w:t>地址：陕西省西安市未央区渭滨路70号水晶卡芭拉11号楼1单元11301室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富平县人民政府办公室关于印发富平县镇级国土空间总体规划(2021年-2035年)编制工作方案的通知》(富政办发(2022]16号)以及《渭南市镇级国土空间总体规划审查报批办法》文件精神，我县城关街道办、东华街道办并非全域位于中心城区城镇开发边界内，按规定需要单独编制镇级国土空间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富平县城关街道国土空间规划（2021-2035年）编制工作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富平县东华街道国土空间规划（2021-2035年）编制工作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标的名称：富平县城关街道国土空间规划（2021-2035年）编制工作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一、服务项目概况</w:t>
            </w:r>
          </w:p>
          <w:p>
            <w:pPr>
              <w:pStyle w:val="null3"/>
              <w:ind w:firstLine="640"/>
              <w:jc w:val="both"/>
            </w:pPr>
            <w:r>
              <w:rPr>
                <w:rFonts w:ascii="仿宋_GB2312" w:hAnsi="仿宋_GB2312" w:cs="仿宋_GB2312" w:eastAsia="仿宋_GB2312"/>
                <w:sz w:val="32"/>
              </w:rPr>
              <w:t>贯彻落实中共中央国务院下发《关于建立国土空间规划体系并监督实施的若干意见》</w:t>
            </w:r>
            <w:r>
              <w:rPr>
                <w:rFonts w:ascii="仿宋_GB2312" w:hAnsi="仿宋_GB2312" w:cs="仿宋_GB2312" w:eastAsia="仿宋_GB2312"/>
                <w:sz w:val="32"/>
              </w:rPr>
              <w:t>(中发[2019]18号)、自然资源部印发《关于全面开展国土空间规划工作的通知》(自然资发[2019]87号)和陕西省委、省政府《关于加快建立并监督实施陕西省国土空间规划体系的实施意见》和《富平县人民政府办公室关于印发富平县镇级国土空间总体规划（2021-2035年）编制工作方案的通知》(富政办发[2022]16号)等文件要求，编制完成富平县城关街道国土空间总体规划，衔接省、市、县国土空间规划编制，对上位国土空间总体规划的要求进行细化落实和具体安排。全面调查评估富平县城关街道国土空间开发、保护、现状治理，结合实际情况，准确把握乡镇未来发展面临的形势和要求，统筹考虑其与富平县的关系，系统提出镇级国土空间开发、利用、保护和整治的战略目标、主要任务、政策措施和重大工程。以空间治理和空间结构优化为主要内容，落实生态保护红线、永久基本农田和城镇开发边界，以国土空间规划统领产业发展、资源开发、基础设施建设、生态保护修复、文化遗产保护传承等多方面空间利用任务，构建科学的城镇化格局、农业发展格局、生态安全格局，形成合理的生产、生活、生态空间，形成布局合理、集约高效、支撑得力、协调可持续的国土空间发展蓝图。</w:t>
            </w:r>
          </w:p>
          <w:p>
            <w:pPr>
              <w:pStyle w:val="null3"/>
              <w:ind w:firstLine="640"/>
              <w:jc w:val="both"/>
            </w:pPr>
            <w:r>
              <w:rPr>
                <w:rFonts w:ascii="仿宋_GB2312" w:hAnsi="仿宋_GB2312" w:cs="仿宋_GB2312" w:eastAsia="仿宋_GB2312"/>
                <w:sz w:val="32"/>
              </w:rPr>
              <w:t>二、服务内容</w:t>
            </w:r>
          </w:p>
          <w:p>
            <w:pPr>
              <w:pStyle w:val="null3"/>
              <w:ind w:firstLine="640"/>
              <w:jc w:val="both"/>
            </w:pPr>
            <w:r>
              <w:rPr>
                <w:rFonts w:ascii="仿宋_GB2312" w:hAnsi="仿宋_GB2312" w:cs="仿宋_GB2312" w:eastAsia="仿宋_GB2312"/>
                <w:sz w:val="32"/>
              </w:rPr>
              <w:t>1.以“2020变更”数据为基础，结合最新国土变更调查，地理国情普查、地质环境调查和森林、草原、湿地、矿产、房地一体确权登记成果数据等专项自然资源调查监测成果为补充，统一采用2000国家大地坐标系和1985国家高程基准作为空间定位基础。通过资料搜集整理、走访座谈、问卷调查和实地踏勘等方式，全面摸清底数，多角度开展现状分析，总结现状发展特点和问题;以县资源环境承载力和国土空间开发适宜性评价结论为基础，明晰农业、生态、城镇空间的承载力与适宜性条件。</w:t>
            </w:r>
          </w:p>
          <w:p>
            <w:pPr>
              <w:pStyle w:val="null3"/>
              <w:ind w:firstLine="640"/>
              <w:jc w:val="both"/>
            </w:pPr>
            <w:r>
              <w:rPr>
                <w:rFonts w:ascii="仿宋_GB2312" w:hAnsi="仿宋_GB2312" w:cs="仿宋_GB2312" w:eastAsia="仿宋_GB2312"/>
                <w:sz w:val="32"/>
              </w:rPr>
              <w:t>2.严格落实上位规划确定的耕地和永久基本农田保护任务，优化农用地布局，提出农业产业单元化与规模化发展的总体思路。</w:t>
            </w:r>
          </w:p>
          <w:p>
            <w:pPr>
              <w:pStyle w:val="null3"/>
              <w:ind w:firstLine="640"/>
              <w:jc w:val="both"/>
            </w:pPr>
            <w:r>
              <w:rPr>
                <w:rFonts w:ascii="仿宋_GB2312" w:hAnsi="仿宋_GB2312" w:cs="仿宋_GB2312" w:eastAsia="仿宋_GB2312"/>
                <w:sz w:val="32"/>
              </w:rPr>
              <w:t>3.以生态保护红线为基础，落实上位规划明确的重要生态功能区和生态廊道，构建连续、稳定的生态安全格局。统筹山水林田湖草治理及重点河湖岸线及周边土地保护利用;统筹矿产资源开发利用;明确历史遗存的保护和建设控制区域，并提出管控要求。</w:t>
            </w:r>
          </w:p>
          <w:p>
            <w:pPr>
              <w:pStyle w:val="null3"/>
              <w:ind w:firstLine="640"/>
              <w:jc w:val="both"/>
            </w:pPr>
            <w:r>
              <w:rPr>
                <w:rFonts w:ascii="仿宋_GB2312" w:hAnsi="仿宋_GB2312" w:cs="仿宋_GB2312" w:eastAsia="仿宋_GB2312"/>
                <w:sz w:val="32"/>
              </w:rPr>
              <w:t>4.落实县国土空间总体规划提出的区域协同发展要求，落实三区三线，细化用途分类;落位重大基础设施、公共服务设施等内容的空间安排;确定主导产业发展方向，合理布局产业空间;构建全域一体、城乡融合的国土空间开发保护总体格局。</w:t>
            </w:r>
          </w:p>
          <w:p>
            <w:pPr>
              <w:pStyle w:val="null3"/>
              <w:ind w:firstLine="640"/>
              <w:jc w:val="both"/>
            </w:pPr>
            <w:r>
              <w:rPr>
                <w:rFonts w:ascii="仿宋_GB2312" w:hAnsi="仿宋_GB2312" w:cs="仿宋_GB2312" w:eastAsia="仿宋_GB2312"/>
                <w:sz w:val="32"/>
              </w:rPr>
              <w:t>5.根据乡镇区位条件、资源禀赋、产业发展、空间特征、文化特色和生态保护等因素，确定乡镇分类。</w:t>
            </w:r>
          </w:p>
          <w:p>
            <w:pPr>
              <w:pStyle w:val="null3"/>
              <w:ind w:firstLine="640"/>
              <w:jc w:val="both"/>
            </w:pPr>
            <w:r>
              <w:rPr>
                <w:rFonts w:ascii="仿宋_GB2312" w:hAnsi="仿宋_GB2312" w:cs="仿宋_GB2312" w:eastAsia="仿宋_GB2312"/>
                <w:sz w:val="32"/>
              </w:rPr>
              <w:t>6.明确镇村体系、村庄布点等内容，优化乡村空间布局，制定差异化政策指引;确定村庄分类，挖掘地方民居特色，对村庄布局形态、建筑色彩等提出引导，并合理配置乡村土地建设指标。</w:t>
            </w:r>
          </w:p>
          <w:p>
            <w:pPr>
              <w:pStyle w:val="null3"/>
              <w:ind w:firstLine="640"/>
              <w:jc w:val="both"/>
            </w:pPr>
            <w:r>
              <w:rPr>
                <w:rFonts w:ascii="仿宋_GB2312" w:hAnsi="仿宋_GB2312" w:cs="仿宋_GB2312" w:eastAsia="仿宋_GB2312"/>
                <w:sz w:val="32"/>
              </w:rPr>
              <w:t>7.细化土地用途管控分区分类，开发边界内落实土地用途分类，开发边界外落实用途管制分区，并提出“指标约束+分区准入”具体管控要求。</w:t>
            </w:r>
          </w:p>
          <w:p>
            <w:pPr>
              <w:pStyle w:val="null3"/>
              <w:ind w:firstLine="640"/>
              <w:jc w:val="both"/>
            </w:pPr>
            <w:r>
              <w:rPr>
                <w:rFonts w:ascii="仿宋_GB2312" w:hAnsi="仿宋_GB2312" w:cs="仿宋_GB2312" w:eastAsia="仿宋_GB2312"/>
                <w:sz w:val="32"/>
              </w:rPr>
              <w:t>8.落实道路交通体系，优化乡村出行道路，提高交通设施城乡覆盖度。落实县政基础设施，合理预测区域未来需求总量。</w:t>
            </w:r>
          </w:p>
          <w:p>
            <w:pPr>
              <w:pStyle w:val="null3"/>
              <w:ind w:firstLine="640"/>
              <w:jc w:val="both"/>
            </w:pPr>
            <w:r>
              <w:rPr>
                <w:rFonts w:ascii="仿宋_GB2312" w:hAnsi="仿宋_GB2312" w:cs="仿宋_GB2312" w:eastAsia="仿宋_GB2312"/>
                <w:sz w:val="32"/>
              </w:rPr>
              <w:t>9.按照集约利用评价结果提出低效建设用地范围，明确保留、腾退类型，并合理利用盘活指标，按照集中与分散相结合的方式优化用地布局。</w:t>
            </w:r>
          </w:p>
          <w:p>
            <w:pPr>
              <w:pStyle w:val="null3"/>
              <w:ind w:firstLine="640"/>
              <w:jc w:val="both"/>
            </w:pPr>
            <w:r>
              <w:rPr>
                <w:rFonts w:ascii="仿宋_GB2312" w:hAnsi="仿宋_GB2312" w:cs="仿宋_GB2312" w:eastAsia="仿宋_GB2312"/>
                <w:sz w:val="32"/>
              </w:rPr>
              <w:t>10.服务指标具体如下：</w:t>
            </w:r>
          </w:p>
          <w:tbl>
            <w:tblPr>
              <w:tblBorders>
                <w:top w:val="none" w:color="000000" w:sz="4"/>
                <w:left w:val="none" w:color="000000" w:sz="4"/>
                <w:bottom w:val="none" w:color="000000" w:sz="4"/>
                <w:right w:val="none" w:color="000000" w:sz="4"/>
                <w:insideH w:val="none"/>
                <w:insideV w:val="none"/>
              </w:tblBorders>
            </w:tblPr>
            <w:tblGrid>
              <w:gridCol w:w="253"/>
              <w:gridCol w:w="392"/>
              <w:gridCol w:w="1412"/>
              <w:gridCol w:w="262"/>
              <w:gridCol w:w="227"/>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服务项目</w:t>
                  </w:r>
                </w:p>
              </w:tc>
              <w:tc>
                <w:tcPr>
                  <w:tcW w:type="dxa" w:w="1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前期基础资料收集</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收集县级资料、乡镇资料、村庄资料，并分类整理，对前期基础资</w:t>
                  </w:r>
                  <w:r>
                    <w:rPr>
                      <w:rFonts w:ascii="仿宋_GB2312" w:hAnsi="仿宋_GB2312" w:cs="仿宋_GB2312" w:eastAsia="仿宋_GB2312"/>
                      <w:sz w:val="24"/>
                    </w:rPr>
                    <w:t>料</w:t>
                  </w:r>
                  <w:r>
                    <w:rPr>
                      <w:rFonts w:ascii="仿宋_GB2312" w:hAnsi="仿宋_GB2312" w:cs="仿宋_GB2312" w:eastAsia="仿宋_GB2312"/>
                      <w:sz w:val="24"/>
                    </w:rPr>
                    <w:t>数据真实性、时效性等进</w:t>
                  </w:r>
                  <w:r>
                    <w:rPr>
                      <w:rFonts w:ascii="仿宋_GB2312" w:hAnsi="仿宋_GB2312" w:cs="仿宋_GB2312" w:eastAsia="仿宋_GB2312"/>
                      <w:sz w:val="24"/>
                    </w:rPr>
                    <w:t>行材</w:t>
                  </w:r>
                  <w:r>
                    <w:rPr>
                      <w:rFonts w:ascii="仿宋_GB2312" w:hAnsi="仿宋_GB2312" w:cs="仿宋_GB2312" w:eastAsia="仿宋_GB2312"/>
                      <w:sz w:val="24"/>
                    </w:rPr>
                    <w:t>料收集核实，对缺失资料及时进行补充收集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基础调研</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通过走访座谈、问卷调查和实地调研等方式，深入了解乡镇现状与发展设想，掌握各部门对乡镇的发展要求</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评估分析</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分析土地利用总体规划、现行城乡规划等空间性规划实施成效，并进行体检评估和风险评估，总结乡镇特征和存在问题</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编制规划方案</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落实上位规划提出的战略引导、底线管控、指标约束</w:t>
                  </w:r>
                  <w:r>
                    <w:rPr>
                      <w:rFonts w:ascii="仿宋_GB2312" w:hAnsi="仿宋_GB2312" w:cs="仿宋_GB2312" w:eastAsia="仿宋_GB2312"/>
                      <w:sz w:val="24"/>
                    </w:rPr>
                    <w:t>：</w:t>
                  </w:r>
                  <w:r>
                    <w:rPr>
                      <w:rFonts w:ascii="仿宋_GB2312" w:hAnsi="仿宋_GB2312" w:cs="仿宋_GB2312" w:eastAsia="仿宋_GB2312"/>
                      <w:sz w:val="24"/>
                    </w:rPr>
                    <w:t>空间布局、设施配套等方面的要求</w:t>
                  </w:r>
                  <w:r>
                    <w:rPr>
                      <w:rFonts w:ascii="仿宋_GB2312" w:hAnsi="仿宋_GB2312" w:cs="仿宋_GB2312" w:eastAsia="仿宋_GB2312"/>
                      <w:sz w:val="24"/>
                    </w:rPr>
                    <w:t>；</w:t>
                  </w:r>
                  <w:r>
                    <w:rPr>
                      <w:rFonts w:ascii="仿宋_GB2312" w:hAnsi="仿宋_GB2312" w:cs="仿宋_GB2312" w:eastAsia="仿宋_GB2312"/>
                      <w:sz w:val="24"/>
                    </w:rPr>
                    <w:t>划分管控分区，细化管控措施</w:t>
                  </w:r>
                  <w:r>
                    <w:rPr>
                      <w:rFonts w:ascii="仿宋_GB2312" w:hAnsi="仿宋_GB2312" w:cs="仿宋_GB2312" w:eastAsia="仿宋_GB2312"/>
                      <w:sz w:val="24"/>
                    </w:rPr>
                    <w:t>；</w:t>
                  </w:r>
                  <w:r>
                    <w:rPr>
                      <w:rFonts w:ascii="仿宋_GB2312" w:hAnsi="仿宋_GB2312" w:cs="仿宋_GB2312" w:eastAsia="仿宋_GB2312"/>
                      <w:sz w:val="24"/>
                    </w:rPr>
                    <w:t>优化镇区空间布局和形态</w:t>
                  </w:r>
                  <w:r>
                    <w:rPr>
                      <w:rFonts w:ascii="仿宋_GB2312" w:hAnsi="仿宋_GB2312" w:cs="仿宋_GB2312" w:eastAsia="仿宋_GB2312"/>
                      <w:sz w:val="24"/>
                    </w:rPr>
                    <w:t>；</w:t>
                  </w:r>
                  <w:r>
                    <w:rPr>
                      <w:rFonts w:ascii="仿宋_GB2312" w:hAnsi="仿宋_GB2312" w:cs="仿宋_GB2312" w:eastAsia="仿宋_GB2312"/>
                      <w:sz w:val="24"/>
                    </w:rPr>
                    <w:t>明确国土整治和生态保护修复工程</w:t>
                  </w:r>
                  <w:r>
                    <w:rPr>
                      <w:rFonts w:ascii="仿宋_GB2312" w:hAnsi="仿宋_GB2312" w:cs="仿宋_GB2312" w:eastAsia="仿宋_GB2312"/>
                      <w:sz w:val="24"/>
                    </w:rPr>
                    <w:t>；</w:t>
                  </w:r>
                  <w:r>
                    <w:rPr>
                      <w:rFonts w:ascii="仿宋_GB2312" w:hAnsi="仿宋_GB2312" w:cs="仿宋_GB2312" w:eastAsia="仿宋_GB2312"/>
                      <w:sz w:val="24"/>
                    </w:rPr>
                    <w:t>提出城乡统筹和要素配置要求</w:t>
                  </w:r>
                  <w:r>
                    <w:rPr>
                      <w:rFonts w:ascii="仿宋_GB2312" w:hAnsi="仿宋_GB2312" w:cs="仿宋_GB2312" w:eastAsia="仿宋_GB2312"/>
                      <w:sz w:val="24"/>
                    </w:rPr>
                    <w:t>；</w:t>
                  </w:r>
                  <w:r>
                    <w:rPr>
                      <w:rFonts w:ascii="仿宋_GB2312" w:hAnsi="仿宋_GB2312" w:cs="仿宋_GB2312" w:eastAsia="仿宋_GB2312"/>
                      <w:sz w:val="24"/>
                    </w:rPr>
                    <w:t>建立任务分解和目标传导机制</w:t>
                  </w:r>
                  <w:r>
                    <w:rPr>
                      <w:rFonts w:ascii="仿宋_GB2312" w:hAnsi="仿宋_GB2312" w:cs="仿宋_GB2312" w:eastAsia="仿宋_GB2312"/>
                      <w:sz w:val="24"/>
                    </w:rPr>
                    <w:t>；</w:t>
                  </w:r>
                  <w:r>
                    <w:rPr>
                      <w:rFonts w:ascii="仿宋_GB2312" w:hAnsi="仿宋_GB2312" w:cs="仿宋_GB2312" w:eastAsia="仿宋_GB2312"/>
                      <w:sz w:val="24"/>
                    </w:rPr>
                    <w:t>制定规划实施保障措施，明确近期重点项目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规划数据库建设</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规划数据库包括现状数据和规划数据，按照统一的数据库标准与规划编制工作同步建设、同步报批，并及时将国土空间规划成果数据纳入国土空间规划</w:t>
                  </w:r>
                  <w:r>
                    <w:rPr>
                      <w:rFonts w:ascii="仿宋_GB2312" w:hAnsi="仿宋_GB2312" w:cs="仿宋_GB2312" w:eastAsia="仿宋_GB2312"/>
                      <w:sz w:val="24"/>
                    </w:rPr>
                    <w:t>“一张图”实施监督信息系统。数据库建设标准及入库方式按照自然资源部、陕西省自然资源厅出台的相关文件、标准执行</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研究论证</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成果方案成果需举行专家评审会，需要进行相关资料的准备，以及会务的相关安</w:t>
                  </w:r>
                  <w:r>
                    <w:rPr>
                      <w:rFonts w:ascii="仿宋_GB2312" w:hAnsi="仿宋_GB2312" w:cs="仿宋_GB2312" w:eastAsia="仿宋_GB2312"/>
                      <w:sz w:val="24"/>
                    </w:rPr>
                    <w:t>排</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协助审查及报批</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协助规划审查、报批及后期服务</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成果备案</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装订文本、图件、汇报资料打印等，并按要求刻盘提交整套成果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32"/>
              </w:rPr>
              <w:t>三、成果提交：</w:t>
            </w:r>
          </w:p>
          <w:p>
            <w:pPr>
              <w:pStyle w:val="null3"/>
              <w:ind w:firstLine="640"/>
              <w:jc w:val="both"/>
            </w:pPr>
            <w:r>
              <w:rPr>
                <w:rFonts w:ascii="仿宋_GB2312" w:hAnsi="仿宋_GB2312" w:cs="仿宋_GB2312" w:eastAsia="仿宋_GB2312"/>
                <w:sz w:val="32"/>
              </w:rPr>
              <w:t>规划成果包括法定性文件和研究性文件。法定性文件由规划文本、规划图集、数据库及附件构成。研究性文件由规划说明、分析图集、专题报告、附件等构成，是支撑法定性文件的论证依据。</w:t>
            </w:r>
          </w:p>
          <w:p>
            <w:pPr>
              <w:pStyle w:val="null3"/>
              <w:ind w:firstLine="640"/>
              <w:jc w:val="both"/>
            </w:pPr>
            <w:r>
              <w:rPr>
                <w:rFonts w:ascii="仿宋_GB2312" w:hAnsi="仿宋_GB2312" w:cs="仿宋_GB2312" w:eastAsia="仿宋_GB2312"/>
                <w:sz w:val="32"/>
              </w:rPr>
              <w:t>规划成果形式包括纸质文件和电子数据。纸质文件包括法定文件的文本、附图、附表。电子数据包括所有法定文件和技术文件的电子版本，包含</w:t>
            </w:r>
            <w:r>
              <w:rPr>
                <w:rFonts w:ascii="仿宋_GB2312" w:hAnsi="仿宋_GB2312" w:cs="仿宋_GB2312" w:eastAsia="仿宋_GB2312"/>
                <w:sz w:val="32"/>
              </w:rPr>
              <w:t>pdf、word、jpg、cad、shp等格式的文字、图纸、各类栅格和矢量数据。</w:t>
            </w:r>
          </w:p>
          <w:p>
            <w:pPr>
              <w:pStyle w:val="null3"/>
              <w:ind w:firstLine="640"/>
              <w:jc w:val="both"/>
            </w:pPr>
            <w:r>
              <w:rPr>
                <w:rFonts w:ascii="仿宋_GB2312" w:hAnsi="仿宋_GB2312" w:cs="仿宋_GB2312" w:eastAsia="仿宋_GB2312"/>
                <w:sz w:val="32"/>
              </w:rPr>
              <w:t>1.法定性文件</w:t>
            </w:r>
          </w:p>
          <w:p>
            <w:pPr>
              <w:pStyle w:val="null3"/>
              <w:ind w:firstLine="643"/>
              <w:jc w:val="both"/>
            </w:pPr>
            <w:r>
              <w:rPr>
                <w:rFonts w:ascii="仿宋_GB2312" w:hAnsi="仿宋_GB2312" w:cs="仿宋_GB2312" w:eastAsia="仿宋_GB2312"/>
                <w:sz w:val="32"/>
                <w:b/>
              </w:rPr>
              <w:t>规划文本</w:t>
            </w:r>
            <w:r>
              <w:rPr>
                <w:rFonts w:ascii="仿宋_GB2312" w:hAnsi="仿宋_GB2312" w:cs="仿宋_GB2312" w:eastAsia="仿宋_GB2312"/>
                <w:sz w:val="32"/>
                <w:b/>
              </w:rPr>
              <w:t>:</w:t>
            </w:r>
            <w:r>
              <w:rPr>
                <w:rFonts w:ascii="仿宋_GB2312" w:hAnsi="仿宋_GB2312" w:cs="仿宋_GB2312" w:eastAsia="仿宋_GB2312"/>
                <w:sz w:val="32"/>
              </w:rPr>
              <w:t>规划文本应当以法条化的格式表述规划结论，突出强制性内容，包括文本条文、必要的表格。表述准确规范，简明扼要。</w:t>
            </w:r>
          </w:p>
          <w:p>
            <w:pPr>
              <w:pStyle w:val="null3"/>
              <w:ind w:firstLine="643"/>
              <w:jc w:val="both"/>
            </w:pPr>
            <w:r>
              <w:rPr>
                <w:rFonts w:ascii="仿宋_GB2312" w:hAnsi="仿宋_GB2312" w:cs="仿宋_GB2312" w:eastAsia="仿宋_GB2312"/>
                <w:sz w:val="32"/>
                <w:b/>
              </w:rPr>
              <w:t>规划图集</w:t>
            </w:r>
            <w:r>
              <w:rPr>
                <w:rFonts w:ascii="仿宋_GB2312" w:hAnsi="仿宋_GB2312" w:cs="仿宋_GB2312" w:eastAsia="仿宋_GB2312"/>
                <w:sz w:val="32"/>
                <w:b/>
              </w:rPr>
              <w:t>:</w:t>
            </w:r>
            <w:r>
              <w:rPr>
                <w:rFonts w:ascii="仿宋_GB2312" w:hAnsi="仿宋_GB2312" w:cs="仿宋_GB2312" w:eastAsia="仿宋_GB2312"/>
                <w:sz w:val="32"/>
              </w:rPr>
              <w:t>包含镇域规划图集和镇区规划图集。图件应符合相关制图规范要求。</w:t>
            </w:r>
          </w:p>
          <w:p>
            <w:pPr>
              <w:pStyle w:val="null3"/>
              <w:ind w:firstLine="643"/>
              <w:jc w:val="both"/>
            </w:pPr>
            <w:r>
              <w:rPr>
                <w:rFonts w:ascii="仿宋_GB2312" w:hAnsi="仿宋_GB2312" w:cs="仿宋_GB2312" w:eastAsia="仿宋_GB2312"/>
                <w:sz w:val="32"/>
                <w:b/>
              </w:rPr>
              <w:t>数据库</w:t>
            </w:r>
            <w:r>
              <w:rPr>
                <w:rFonts w:ascii="仿宋_GB2312" w:hAnsi="仿宋_GB2312" w:cs="仿宋_GB2312" w:eastAsia="仿宋_GB2312"/>
                <w:sz w:val="32"/>
                <w:b/>
              </w:rPr>
              <w:t>:</w:t>
            </w:r>
            <w:r>
              <w:rPr>
                <w:rFonts w:ascii="仿宋_GB2312" w:hAnsi="仿宋_GB2312" w:cs="仿宋_GB2312" w:eastAsia="仿宋_GB2312"/>
                <w:sz w:val="32"/>
              </w:rPr>
              <w:t>按照统一的国土空间规划数据库标准与规划编制工作同步建设、同步报批，并逐级上报备案，形成国土空间规划</w:t>
            </w:r>
            <w:r>
              <w:rPr>
                <w:rFonts w:ascii="仿宋_GB2312" w:hAnsi="仿宋_GB2312" w:cs="仿宋_GB2312" w:eastAsia="仿宋_GB2312"/>
                <w:sz w:val="32"/>
              </w:rPr>
              <w:t>“一张图”。</w:t>
            </w:r>
          </w:p>
          <w:p>
            <w:pPr>
              <w:pStyle w:val="null3"/>
              <w:ind w:firstLine="643"/>
              <w:jc w:val="both"/>
            </w:pPr>
            <w:r>
              <w:rPr>
                <w:rFonts w:ascii="仿宋_GB2312" w:hAnsi="仿宋_GB2312" w:cs="仿宋_GB2312" w:eastAsia="仿宋_GB2312"/>
                <w:sz w:val="32"/>
                <w:b/>
              </w:rPr>
              <w:t>附件</w:t>
            </w:r>
            <w:r>
              <w:rPr>
                <w:rFonts w:ascii="仿宋_GB2312" w:hAnsi="仿宋_GB2312" w:cs="仿宋_GB2312" w:eastAsia="仿宋_GB2312"/>
                <w:sz w:val="32"/>
                <w:b/>
              </w:rPr>
              <w:t>:</w:t>
            </w:r>
            <w:r>
              <w:rPr>
                <w:rFonts w:ascii="仿宋_GB2312" w:hAnsi="仿宋_GB2312" w:cs="仿宋_GB2312" w:eastAsia="仿宋_GB2312"/>
                <w:sz w:val="32"/>
              </w:rPr>
              <w:t>人大审议意见、部门意见、会议纪要、专家论证意见、公众参与记录、听证材料等。</w:t>
            </w:r>
          </w:p>
          <w:p>
            <w:pPr>
              <w:pStyle w:val="null3"/>
              <w:ind w:firstLine="640"/>
              <w:jc w:val="both"/>
            </w:pPr>
            <w:r>
              <w:rPr>
                <w:rFonts w:ascii="仿宋_GB2312" w:hAnsi="仿宋_GB2312" w:cs="仿宋_GB2312" w:eastAsia="仿宋_GB2312"/>
                <w:sz w:val="32"/>
              </w:rPr>
              <w:t>2.研究性文件</w:t>
            </w:r>
          </w:p>
          <w:p>
            <w:pPr>
              <w:pStyle w:val="null3"/>
              <w:ind w:firstLine="643"/>
              <w:jc w:val="both"/>
            </w:pPr>
            <w:r>
              <w:rPr>
                <w:rFonts w:ascii="仿宋_GB2312" w:hAnsi="仿宋_GB2312" w:cs="仿宋_GB2312" w:eastAsia="仿宋_GB2312"/>
                <w:sz w:val="32"/>
                <w:b/>
              </w:rPr>
              <w:t>规划说明</w:t>
            </w:r>
            <w:r>
              <w:rPr>
                <w:rFonts w:ascii="仿宋_GB2312" w:hAnsi="仿宋_GB2312" w:cs="仿宋_GB2312" w:eastAsia="仿宋_GB2312"/>
                <w:sz w:val="32"/>
                <w:b/>
              </w:rPr>
              <w:t>:</w:t>
            </w:r>
            <w:r>
              <w:rPr>
                <w:rFonts w:ascii="仿宋_GB2312" w:hAnsi="仿宋_GB2312" w:cs="仿宋_GB2312" w:eastAsia="仿宋_GB2312"/>
                <w:sz w:val="32"/>
              </w:rPr>
              <w:t>规划说明是对规划文本的具体说明与解释，主要阐述规划决策的编制基础、分析过程和分析结论。</w:t>
            </w:r>
          </w:p>
          <w:p>
            <w:pPr>
              <w:pStyle w:val="null3"/>
              <w:ind w:firstLine="643"/>
              <w:jc w:val="both"/>
            </w:pPr>
            <w:r>
              <w:rPr>
                <w:rFonts w:ascii="仿宋_GB2312" w:hAnsi="仿宋_GB2312" w:cs="仿宋_GB2312" w:eastAsia="仿宋_GB2312"/>
                <w:sz w:val="32"/>
                <w:b/>
              </w:rPr>
              <w:t>专题报告</w:t>
            </w:r>
            <w:r>
              <w:rPr>
                <w:rFonts w:ascii="仿宋_GB2312" w:hAnsi="仿宋_GB2312" w:cs="仿宋_GB2312" w:eastAsia="仿宋_GB2312"/>
                <w:sz w:val="32"/>
                <w:b/>
              </w:rPr>
              <w:t>:</w:t>
            </w:r>
            <w:r>
              <w:rPr>
                <w:rFonts w:ascii="仿宋_GB2312" w:hAnsi="仿宋_GB2312" w:cs="仿宋_GB2312" w:eastAsia="仿宋_GB2312"/>
                <w:sz w:val="32"/>
              </w:rPr>
              <w:t>规划编制中对重大问题进行研究形成的专题报告。</w:t>
            </w:r>
          </w:p>
          <w:p>
            <w:pPr>
              <w:pStyle w:val="null3"/>
              <w:ind w:firstLine="643"/>
              <w:jc w:val="both"/>
            </w:pPr>
            <w:r>
              <w:rPr>
                <w:rFonts w:ascii="仿宋_GB2312" w:hAnsi="仿宋_GB2312" w:cs="仿宋_GB2312" w:eastAsia="仿宋_GB2312"/>
                <w:sz w:val="32"/>
                <w:b/>
              </w:rPr>
              <w:t>分析图集</w:t>
            </w:r>
            <w:r>
              <w:rPr>
                <w:rFonts w:ascii="仿宋_GB2312" w:hAnsi="仿宋_GB2312" w:cs="仿宋_GB2312" w:eastAsia="仿宋_GB2312"/>
                <w:sz w:val="32"/>
                <w:b/>
              </w:rPr>
              <w:t>:</w:t>
            </w:r>
            <w:r>
              <w:rPr>
                <w:rFonts w:ascii="仿宋_GB2312" w:hAnsi="仿宋_GB2312" w:cs="仿宋_GB2312" w:eastAsia="仿宋_GB2312"/>
                <w:sz w:val="32"/>
              </w:rPr>
              <w:t>相关分析图。</w:t>
            </w:r>
          </w:p>
          <w:p>
            <w:pPr>
              <w:pStyle w:val="null3"/>
              <w:ind w:firstLine="640"/>
              <w:jc w:val="both"/>
            </w:pPr>
            <w:r>
              <w:rPr>
                <w:rFonts w:ascii="仿宋_GB2312" w:hAnsi="仿宋_GB2312" w:cs="仿宋_GB2312" w:eastAsia="仿宋_GB2312"/>
                <w:sz w:val="32"/>
              </w:rPr>
              <w:t>四、服务质量、标准、期限、效率等要求</w:t>
            </w:r>
          </w:p>
          <w:p>
            <w:pPr>
              <w:pStyle w:val="null3"/>
              <w:ind w:firstLine="640"/>
              <w:jc w:val="both"/>
            </w:pPr>
            <w:r>
              <w:rPr>
                <w:rFonts w:ascii="仿宋_GB2312" w:hAnsi="仿宋_GB2312" w:cs="仿宋_GB2312" w:eastAsia="仿宋_GB2312"/>
                <w:sz w:val="32"/>
              </w:rPr>
              <w:t>本项目的开展，将严格按照国家、陕西省、渭南市、富平县国土空间总体规划项目的法律法规和技术标准、规范等，结合城关街道的行政建制、产业发展、革命历史及总体特征，制定城关街道国土空间总体规划工作方案、开展基础调查、编制规划成果及组织咨询论证，按流程规定上报验收、备案及售后服务，确保各阶段所编制的成果符合相关的政策及技术要求。期限为自合同签订之日</w:t>
            </w:r>
            <w:r>
              <w:rPr>
                <w:rFonts w:ascii="仿宋_GB2312" w:hAnsi="仿宋_GB2312" w:cs="仿宋_GB2312" w:eastAsia="仿宋_GB2312"/>
                <w:sz w:val="32"/>
              </w:rPr>
              <w:t>起</w:t>
            </w:r>
            <w:r>
              <w:rPr>
                <w:rFonts w:ascii="仿宋_GB2312" w:hAnsi="仿宋_GB2312" w:cs="仿宋_GB2312" w:eastAsia="仿宋_GB2312"/>
                <w:sz w:val="32"/>
              </w:rPr>
              <w:t>60日历</w:t>
            </w:r>
            <w:r>
              <w:rPr>
                <w:rFonts w:ascii="仿宋_GB2312" w:hAnsi="仿宋_GB2312" w:cs="仿宋_GB2312" w:eastAsia="仿宋_GB2312"/>
                <w:sz w:val="32"/>
              </w:rPr>
              <w:t>日内完成。</w:t>
            </w:r>
          </w:p>
          <w:p>
            <w:pPr>
              <w:pStyle w:val="null3"/>
              <w:ind w:firstLine="640"/>
              <w:jc w:val="both"/>
            </w:pPr>
            <w:r>
              <w:rPr>
                <w:rFonts w:ascii="仿宋_GB2312" w:hAnsi="仿宋_GB2312" w:cs="仿宋_GB2312" w:eastAsia="仿宋_GB2312"/>
                <w:sz w:val="32"/>
              </w:rPr>
              <w:t>五、付款方式</w:t>
            </w:r>
          </w:p>
          <w:p>
            <w:pPr>
              <w:pStyle w:val="null3"/>
              <w:ind w:firstLine="640"/>
              <w:jc w:val="both"/>
            </w:pPr>
            <w:r>
              <w:rPr>
                <w:rFonts w:ascii="仿宋_GB2312" w:hAnsi="仿宋_GB2312" w:cs="仿宋_GB2312" w:eastAsia="仿宋_GB2312"/>
                <w:sz w:val="32"/>
              </w:rPr>
              <w:t>合同签订后总金额分二期支付，具体分为：第一期在成果提交至主管部门验收后，支付总费用的</w:t>
            </w:r>
            <w:r>
              <w:rPr>
                <w:rFonts w:ascii="仿宋_GB2312" w:hAnsi="仿宋_GB2312" w:cs="仿宋_GB2312" w:eastAsia="仿宋_GB2312"/>
                <w:sz w:val="32"/>
              </w:rPr>
              <w:t>50％合同款，第二期在成果经验收、审批及提交所有成果资料后，支付剩余50％合同款。</w:t>
            </w:r>
          </w:p>
          <w:p>
            <w:pPr>
              <w:pStyle w:val="null3"/>
              <w:ind w:firstLine="640"/>
              <w:jc w:val="both"/>
            </w:pPr>
            <w:r>
              <w:rPr>
                <w:rFonts w:ascii="仿宋_GB2312" w:hAnsi="仿宋_GB2312" w:cs="仿宋_GB2312" w:eastAsia="仿宋_GB2312"/>
                <w:sz w:val="32"/>
              </w:rPr>
              <w:t>六、验收标准</w:t>
            </w:r>
          </w:p>
          <w:p>
            <w:pPr>
              <w:pStyle w:val="null3"/>
              <w:ind w:firstLine="640"/>
              <w:jc w:val="both"/>
            </w:pPr>
            <w:r>
              <w:rPr>
                <w:rFonts w:ascii="仿宋_GB2312" w:hAnsi="仿宋_GB2312" w:cs="仿宋_GB2312" w:eastAsia="仿宋_GB2312"/>
                <w:sz w:val="32"/>
              </w:rPr>
              <w:t>成果通过市、县评审，完成资料汇交，取得渭南市人民政府批复文件。</w:t>
            </w:r>
          </w:p>
          <w:p>
            <w:pPr>
              <w:pStyle w:val="null3"/>
              <w:ind w:firstLine="640"/>
              <w:jc w:val="both"/>
            </w:pPr>
            <w:r>
              <w:rPr>
                <w:rFonts w:ascii="仿宋_GB2312" w:hAnsi="仿宋_GB2312" w:cs="仿宋_GB2312" w:eastAsia="仿宋_GB2312"/>
                <w:sz w:val="32"/>
              </w:rPr>
              <w:t>七、是否面向中小企业</w:t>
            </w:r>
          </w:p>
          <w:p>
            <w:pPr>
              <w:pStyle w:val="null3"/>
              <w:ind w:firstLine="640"/>
              <w:jc w:val="both"/>
            </w:pPr>
            <w:r>
              <w:rPr>
                <w:rFonts w:ascii="仿宋_GB2312" w:hAnsi="仿宋_GB2312" w:cs="仿宋_GB2312" w:eastAsia="仿宋_GB2312"/>
                <w:sz w:val="32"/>
              </w:rPr>
              <w:t>面向中小企业。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标的名称：富平县东华街道国土空间规划（2021-2035年）编制工作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一、</w:t>
            </w:r>
            <w:r>
              <w:rPr>
                <w:rFonts w:ascii="仿宋_GB2312" w:hAnsi="仿宋_GB2312" w:cs="仿宋_GB2312" w:eastAsia="仿宋_GB2312"/>
                <w:sz w:val="30"/>
              </w:rPr>
              <w:t>基本情况</w:t>
            </w:r>
          </w:p>
          <w:p>
            <w:pPr>
              <w:pStyle w:val="null3"/>
              <w:ind w:firstLine="640"/>
              <w:jc w:val="both"/>
            </w:pPr>
            <w:r>
              <w:rPr>
                <w:rFonts w:ascii="仿宋_GB2312" w:hAnsi="仿宋_GB2312" w:cs="仿宋_GB2312" w:eastAsia="仿宋_GB2312"/>
                <w:sz w:val="32"/>
              </w:rPr>
              <w:t>乡镇级国土空间规划是对市、县级国土空间总体规划的细化落实，是乡镇国土空间开发、保护、利用、修复和各类建设的行动指南，是编制国土空间详细规划以及实施国土空间用途管制的基本依据。</w:t>
            </w:r>
            <w:r>
              <w:rPr>
                <w:rFonts w:ascii="仿宋_GB2312" w:hAnsi="仿宋_GB2312" w:cs="仿宋_GB2312" w:eastAsia="仿宋_GB2312"/>
                <w:sz w:val="32"/>
              </w:rPr>
              <w:t>2020年中共陕西省委、陕西省人民政府印发《关于加快建立并监督实施陕西省国土空间规划体系的实施意见》，提出建立省、市、县、乡镇四个层级和总体规划、详细规划、相关专项规划三种类型的全省国土空间规划体系。同年，陕西省自然资源厅印发《关于加快推进市县国土空间规划编制工作的通知》，要求加快推进市县国土空间规划编制工作。2023年陕西省自然资源厅印发《陕西省乡镇级国土空间规划编制技术要点（试行）》的通知。推进乡镇级国土空间规划编制工作规范高效有序进行，提高规划的科学性和成果质量，加快构建陕西省“四级三类”的国土空间规划体系。</w:t>
            </w:r>
          </w:p>
          <w:p>
            <w:pPr>
              <w:pStyle w:val="null3"/>
              <w:ind w:firstLine="640"/>
              <w:jc w:val="both"/>
            </w:pPr>
            <w:r>
              <w:rPr>
                <w:rFonts w:ascii="仿宋_GB2312" w:hAnsi="仿宋_GB2312" w:cs="仿宋_GB2312" w:eastAsia="仿宋_GB2312"/>
                <w:sz w:val="32"/>
              </w:rPr>
              <w:t>严格按照自然资源部和陕西省自然资源厅的统一部署，根据《富平县人民政府办公室关于印发富平县镇级国土空间总体规划（</w:t>
            </w:r>
            <w:r>
              <w:rPr>
                <w:rFonts w:ascii="仿宋_GB2312" w:hAnsi="仿宋_GB2312" w:cs="仿宋_GB2312" w:eastAsia="仿宋_GB2312"/>
                <w:sz w:val="32"/>
              </w:rPr>
              <w:t>2021-2035年）编制工作方案的通知》(富政办发[2022]16号)等文件要求，积极开展东华街道国土空间规划编制工作，旨在合理统筹部署全域全要素，指导和约束全域国土空间开发保护活动，统筹配置全域全要素，为东华街道高质量发展提供空间保障和支撑。</w:t>
            </w:r>
          </w:p>
          <w:p>
            <w:pPr>
              <w:pStyle w:val="null3"/>
              <w:ind w:firstLine="600"/>
              <w:jc w:val="both"/>
            </w:pPr>
            <w:r>
              <w:rPr>
                <w:rFonts w:ascii="仿宋_GB2312" w:hAnsi="仿宋_GB2312" w:cs="仿宋_GB2312" w:eastAsia="仿宋_GB2312"/>
                <w:sz w:val="30"/>
              </w:rPr>
              <w:t>二、服务内容</w:t>
            </w:r>
          </w:p>
          <w:p>
            <w:pPr>
              <w:pStyle w:val="null3"/>
              <w:ind w:firstLine="640"/>
              <w:jc w:val="both"/>
            </w:pPr>
            <w:r>
              <w:rPr>
                <w:rFonts w:ascii="仿宋_GB2312" w:hAnsi="仿宋_GB2312" w:cs="仿宋_GB2312" w:eastAsia="仿宋_GB2312"/>
                <w:sz w:val="32"/>
              </w:rPr>
              <w:t>镇级国土空间规划承担着承上启下、精准落地的重要作用，主要服务内容包括以下方面：</w:t>
            </w:r>
          </w:p>
          <w:p>
            <w:pPr>
              <w:pStyle w:val="null3"/>
              <w:ind w:firstLine="640"/>
              <w:jc w:val="both"/>
            </w:pPr>
            <w:r>
              <w:rPr>
                <w:rFonts w:ascii="仿宋_GB2312" w:hAnsi="仿宋_GB2312" w:cs="仿宋_GB2312" w:eastAsia="仿宋_GB2312"/>
                <w:sz w:val="32"/>
              </w:rPr>
              <w:t>底图底数与现状分析。</w:t>
            </w:r>
            <w:r>
              <w:rPr>
                <w:rFonts w:ascii="仿宋_GB2312" w:hAnsi="仿宋_GB2312" w:cs="仿宋_GB2312" w:eastAsia="仿宋_GB2312"/>
                <w:sz w:val="32"/>
              </w:rPr>
              <w:t>以</w:t>
            </w:r>
            <w:r>
              <w:rPr>
                <w:rFonts w:ascii="仿宋_GB2312" w:hAnsi="仿宋_GB2312" w:cs="仿宋_GB2312" w:eastAsia="仿宋_GB2312"/>
                <w:sz w:val="32"/>
              </w:rPr>
              <w:t>2020年及最新年度国土变更调查成果为基础（城镇、村庄不打开统计），衔接县级国土空间总体规划底数底图，整合水资源、土壤资源、矿产资源、地质环境、森林资源等专项调查数据，进行地类转换、细化与边界修订，形成坐标一致、边界吻合、上下贯通的工作底图。同时，开展辖域现状调研，分析区域优势、资源禀赋、功能定位、发展阶段及存在问题，为规划编制提供基础支撑。</w:t>
            </w:r>
          </w:p>
          <w:p>
            <w:pPr>
              <w:pStyle w:val="null3"/>
              <w:ind w:firstLine="640"/>
              <w:jc w:val="both"/>
            </w:pPr>
            <w:r>
              <w:rPr>
                <w:rFonts w:ascii="仿宋_GB2312" w:hAnsi="仿宋_GB2312" w:cs="仿宋_GB2312" w:eastAsia="仿宋_GB2312"/>
                <w:sz w:val="32"/>
              </w:rPr>
              <w:t>底线管控与空间格局优化。</w:t>
            </w:r>
            <w:r>
              <w:rPr>
                <w:rFonts w:ascii="仿宋_GB2312" w:hAnsi="仿宋_GB2312" w:cs="仿宋_GB2312" w:eastAsia="仿宋_GB2312"/>
                <w:sz w:val="32"/>
              </w:rPr>
              <w:t>严格落实上位规划划定的生态保护红线、永久基本农田、城镇开发边界等刚性管控要求，明确镇域国土空间保护底线。统筹生态、农业、城镇等功能空间，构建</w:t>
            </w:r>
            <w:r>
              <w:rPr>
                <w:rFonts w:ascii="仿宋_GB2312" w:hAnsi="仿宋_GB2312" w:cs="仿宋_GB2312" w:eastAsia="仿宋_GB2312"/>
                <w:sz w:val="32"/>
              </w:rPr>
              <w:t>“开放式、集约型、网络化”的国土空间格局，引导建设用地结构优化调整、耕地连片集聚布局，提升存量土地利用效能。</w:t>
            </w:r>
          </w:p>
          <w:p>
            <w:pPr>
              <w:pStyle w:val="null3"/>
              <w:ind w:firstLine="640"/>
              <w:jc w:val="both"/>
            </w:pPr>
            <w:r>
              <w:rPr>
                <w:rFonts w:ascii="仿宋_GB2312" w:hAnsi="仿宋_GB2312" w:cs="仿宋_GB2312" w:eastAsia="仿宋_GB2312"/>
                <w:sz w:val="32"/>
              </w:rPr>
              <w:t>用地布局与用途管制。</w:t>
            </w:r>
            <w:r>
              <w:rPr>
                <w:rFonts w:ascii="仿宋_GB2312" w:hAnsi="仿宋_GB2312" w:cs="仿宋_GB2312" w:eastAsia="仿宋_GB2312"/>
                <w:sz w:val="32"/>
              </w:rPr>
              <w:t>深化细化用地功能布局，明确居住、公共设施（教育、医疗、社会福利等）、工业、商业、绿地等各类用地的规模与位置。落实上位规划确定的生态保护红线、永久基本农田、城镇开发边界、蓝线（水系）、绿线（绿地）、紫线（历史文化）、黄线（市政设施）等重要控制线，明确各类要素的空间范围与管控要求。对接辖域基础设施建设、公共服务设施配套、乡村产业发展等项目需求，将项目纳入规划重点项目清单，保障空间落地。</w:t>
            </w:r>
          </w:p>
          <w:p>
            <w:pPr>
              <w:pStyle w:val="null3"/>
              <w:ind w:firstLine="640"/>
              <w:jc w:val="both"/>
            </w:pPr>
            <w:r>
              <w:rPr>
                <w:rFonts w:ascii="仿宋_GB2312" w:hAnsi="仿宋_GB2312" w:cs="仿宋_GB2312" w:eastAsia="仿宋_GB2312"/>
                <w:sz w:val="32"/>
              </w:rPr>
              <w:t>公共服务与基础设施支撑。</w:t>
            </w:r>
            <w:r>
              <w:rPr>
                <w:rFonts w:ascii="仿宋_GB2312" w:hAnsi="仿宋_GB2312" w:cs="仿宋_GB2312" w:eastAsia="仿宋_GB2312"/>
                <w:sz w:val="32"/>
              </w:rPr>
              <w:t>针对镇区实际服务管理人口规模、构成及生产生活需求，合理确定教育、医疗、卫生、防疫、社会福利等公共服务设施的用地规模与位置，鼓励整合盘活闲置用地优先用于公共服务设施建设。优化镇区路网结构，深化主次干道线形设计，完善支路系统，明确客运站、公共交通停靠站、公共停车场等交通设施的规模与位置；科学预测供水、排水、供电、燃气、通信、垃圾处理等市政设施需求，确定建设规模与用地位置，预留重要市政设施廊道；明确防灾减灾目标，划定灾害影响范围，布局防灾减灾设施与应急避难场所，提出治理、预警等措施。</w:t>
            </w:r>
          </w:p>
          <w:p>
            <w:pPr>
              <w:pStyle w:val="null3"/>
              <w:ind w:firstLine="640"/>
              <w:jc w:val="both"/>
            </w:pPr>
            <w:r>
              <w:rPr>
                <w:rFonts w:ascii="仿宋_GB2312" w:hAnsi="仿宋_GB2312" w:cs="仿宋_GB2312" w:eastAsia="仿宋_GB2312"/>
                <w:sz w:val="32"/>
              </w:rPr>
              <w:t>历史文化与风貌管控。</w:t>
            </w:r>
            <w:r>
              <w:rPr>
                <w:rFonts w:ascii="仿宋_GB2312" w:hAnsi="仿宋_GB2312" w:cs="仿宋_GB2312" w:eastAsia="仿宋_GB2312"/>
                <w:sz w:val="32"/>
              </w:rPr>
              <w:t>落实历史文化街区、各级文物保护单位及重要地下文物埋藏区的保护范围，划定紫线并明确管控要求。挖掘整理历史文化资源与环境景观资源，提出特色风貌保护重点区域的保护管控措施，明确文化遗产保护传承与展示利用策略。对镇区建筑的高度、风格、体量、色彩等提出设计指引，划定绿线、蓝线，强化重点景观风貌区、景观节点、景观视廊的控制，提升镇域空间品质。</w:t>
            </w:r>
          </w:p>
          <w:p>
            <w:pPr>
              <w:pStyle w:val="null3"/>
              <w:ind w:firstLine="640"/>
              <w:jc w:val="both"/>
            </w:pPr>
            <w:r>
              <w:rPr>
                <w:rFonts w:ascii="仿宋_GB2312" w:hAnsi="仿宋_GB2312" w:cs="仿宋_GB2312" w:eastAsia="仿宋_GB2312"/>
                <w:sz w:val="32"/>
              </w:rPr>
              <w:t>国土综合整治与实施保障。</w:t>
            </w:r>
            <w:r>
              <w:rPr>
                <w:rFonts w:ascii="仿宋_GB2312" w:hAnsi="仿宋_GB2312" w:cs="仿宋_GB2312" w:eastAsia="仿宋_GB2312"/>
                <w:sz w:val="32"/>
              </w:rPr>
              <w:t>为全域土地综合整治提供蓝图引导，明确整治空间布局、规模与时序，重点解决</w:t>
            </w:r>
            <w:r>
              <w:rPr>
                <w:rFonts w:ascii="仿宋_GB2312" w:hAnsi="仿宋_GB2312" w:cs="仿宋_GB2312" w:eastAsia="仿宋_GB2312"/>
                <w:sz w:val="32"/>
              </w:rPr>
              <w:t>“拆哪里、腾哪里、建哪里”的问题，支持镇村产业项目落地。梳理闲置土地、低效用地等存量空间，引导通过低效用地再开发、城乡建设用地增减挂钩等方式盘活利用。提出规划实施的组织保障措施，如明确地方政府及自然资源主管部门的职责分工、组建责任规划师队伍、加强基层干部业务培训等，推动规划落地见效。</w:t>
            </w:r>
          </w:p>
          <w:tbl>
            <w:tblPr>
              <w:tblBorders>
                <w:top w:val="none" w:color="000000" w:sz="4"/>
                <w:left w:val="none" w:color="000000" w:sz="4"/>
                <w:bottom w:val="none" w:color="000000" w:sz="4"/>
                <w:right w:val="none" w:color="000000" w:sz="4"/>
                <w:insideH w:val="none"/>
                <w:insideV w:val="none"/>
              </w:tblBorders>
            </w:tblPr>
            <w:tblGrid>
              <w:gridCol w:w="226"/>
              <w:gridCol w:w="676"/>
              <w:gridCol w:w="1129"/>
              <w:gridCol w:w="271"/>
              <w:gridCol w:w="244"/>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服务名称</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计量</w:t>
                  </w:r>
                </w:p>
                <w:p>
                  <w:pPr>
                    <w:pStyle w:val="null3"/>
                    <w:jc w:val="center"/>
                  </w:pPr>
                  <w:r>
                    <w:rPr>
                      <w:rFonts w:ascii="仿宋_GB2312" w:hAnsi="仿宋_GB2312" w:cs="仿宋_GB2312" w:eastAsia="仿宋_GB2312"/>
                      <w:sz w:val="24"/>
                    </w:rPr>
                    <w:t>单位</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资料收集与基本情况调查</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收集相关部门资料，对项目进行外业调查</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方案编制</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包括现状分析、问题梳理、规模预测、选址和布局、近期建设计划、实施建议等</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成果图件编制</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现状分析图、规划图及其他图件</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数据库建设</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制作项目数据所需软件</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成果资料打印装订</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项目评审所需资料</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成果上报</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评审会议费及成果上报交通、差旅、住宿等费用</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8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其他不可预见费用</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640"/>
              <w:jc w:val="both"/>
            </w:pPr>
            <w:r>
              <w:rPr>
                <w:rFonts w:ascii="仿宋_GB2312" w:hAnsi="仿宋_GB2312" w:cs="仿宋_GB2312" w:eastAsia="仿宋_GB2312"/>
                <w:sz w:val="32"/>
              </w:rPr>
              <w:t>三、规划依据</w:t>
            </w:r>
          </w:p>
          <w:p>
            <w:pPr>
              <w:pStyle w:val="null3"/>
              <w:ind w:firstLine="640"/>
              <w:jc w:val="both"/>
            </w:pPr>
            <w:r>
              <w:rPr>
                <w:rFonts w:ascii="仿宋_GB2312" w:hAnsi="仿宋_GB2312" w:cs="仿宋_GB2312" w:eastAsia="仿宋_GB2312"/>
                <w:sz w:val="32"/>
              </w:rPr>
              <w:t>国家相关法律法规，包括：</w:t>
            </w:r>
          </w:p>
          <w:p>
            <w:pPr>
              <w:pStyle w:val="null3"/>
              <w:ind w:firstLine="640"/>
              <w:jc w:val="both"/>
            </w:pPr>
            <w:r>
              <w:rPr>
                <w:rFonts w:ascii="仿宋_GB2312" w:hAnsi="仿宋_GB2312" w:cs="仿宋_GB2312" w:eastAsia="仿宋_GB2312"/>
                <w:sz w:val="32"/>
              </w:rPr>
              <w:t>《中华人民共和国土地管理法》</w:t>
            </w:r>
          </w:p>
          <w:p>
            <w:pPr>
              <w:pStyle w:val="null3"/>
              <w:ind w:firstLine="640"/>
              <w:jc w:val="both"/>
            </w:pPr>
            <w:r>
              <w:rPr>
                <w:rFonts w:ascii="仿宋_GB2312" w:hAnsi="仿宋_GB2312" w:cs="仿宋_GB2312" w:eastAsia="仿宋_GB2312"/>
                <w:sz w:val="32"/>
              </w:rPr>
              <w:t>《中华人民共和国城乡规划法》</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中华人民共和国环境保护法》</w:t>
            </w:r>
          </w:p>
          <w:p>
            <w:pPr>
              <w:pStyle w:val="null3"/>
              <w:ind w:firstLine="640"/>
              <w:jc w:val="both"/>
            </w:pPr>
            <w:r>
              <w:rPr>
                <w:rFonts w:ascii="仿宋_GB2312" w:hAnsi="仿宋_GB2312" w:cs="仿宋_GB2312" w:eastAsia="仿宋_GB2312"/>
                <w:sz w:val="32"/>
              </w:rPr>
              <w:t>《中华人民共和国基本农田保护条例》</w:t>
            </w:r>
          </w:p>
          <w:p>
            <w:pPr>
              <w:pStyle w:val="null3"/>
              <w:ind w:firstLine="640"/>
              <w:jc w:val="both"/>
            </w:pPr>
            <w:r>
              <w:rPr>
                <w:rFonts w:ascii="仿宋_GB2312" w:hAnsi="仿宋_GB2312" w:cs="仿宋_GB2312" w:eastAsia="仿宋_GB2312"/>
                <w:sz w:val="32"/>
              </w:rPr>
              <w:t>《中华人民共和国土地管理法实施条例》</w:t>
            </w:r>
            <w:r>
              <w:rPr>
                <w:rFonts w:ascii="仿宋_GB2312" w:hAnsi="仿宋_GB2312" w:cs="仿宋_GB2312" w:eastAsia="仿宋_GB2312"/>
                <w:sz w:val="32"/>
              </w:rPr>
              <w:t>等</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政策文件，包括：</w:t>
            </w:r>
          </w:p>
          <w:p>
            <w:pPr>
              <w:pStyle w:val="null3"/>
              <w:ind w:firstLine="640"/>
              <w:jc w:val="both"/>
            </w:pPr>
            <w:r>
              <w:rPr>
                <w:rFonts w:ascii="仿宋_GB2312" w:hAnsi="仿宋_GB2312" w:cs="仿宋_GB2312" w:eastAsia="仿宋_GB2312"/>
                <w:sz w:val="32"/>
              </w:rPr>
              <w:t>《中共中央国务院关于建立国土空间规划体系并监督实施的若干意见》</w:t>
            </w:r>
          </w:p>
          <w:p>
            <w:pPr>
              <w:pStyle w:val="null3"/>
              <w:ind w:firstLine="640"/>
              <w:jc w:val="both"/>
            </w:pPr>
            <w:r>
              <w:rPr>
                <w:rFonts w:ascii="仿宋_GB2312" w:hAnsi="仿宋_GB2312" w:cs="仿宋_GB2312" w:eastAsia="仿宋_GB2312"/>
                <w:sz w:val="32"/>
              </w:rPr>
              <w:t>《自然资源部关于全面开展国土空间规划工作的通知》</w:t>
            </w:r>
          </w:p>
          <w:p>
            <w:pPr>
              <w:pStyle w:val="null3"/>
              <w:ind w:firstLine="640"/>
              <w:jc w:val="both"/>
            </w:pPr>
            <w:r>
              <w:rPr>
                <w:rFonts w:ascii="仿宋_GB2312" w:hAnsi="仿宋_GB2312" w:cs="仿宋_GB2312" w:eastAsia="仿宋_GB2312"/>
                <w:sz w:val="32"/>
              </w:rPr>
              <w:t>《中共中央办公厅国务院办公厅印发〈关于在国土空间规划中统筹划定落实三条控制线的指导意见〉》</w:t>
            </w:r>
          </w:p>
          <w:p>
            <w:pPr>
              <w:pStyle w:val="null3"/>
              <w:ind w:firstLine="640"/>
              <w:jc w:val="both"/>
            </w:pPr>
            <w:r>
              <w:rPr>
                <w:rFonts w:ascii="仿宋_GB2312" w:hAnsi="仿宋_GB2312" w:cs="仿宋_GB2312" w:eastAsia="仿宋_GB2312"/>
                <w:sz w:val="32"/>
              </w:rPr>
              <w:t>《自然资源部关于以</w:t>
            </w:r>
            <w:r>
              <w:rPr>
                <w:rFonts w:ascii="仿宋_GB2312" w:hAnsi="仿宋_GB2312" w:cs="仿宋_GB2312" w:eastAsia="仿宋_GB2312"/>
                <w:sz w:val="32"/>
              </w:rPr>
              <w:t>“多规合一”为基础推进规划用地“多审合一、多证合一”改革的通知》</w:t>
            </w:r>
          </w:p>
          <w:p>
            <w:pPr>
              <w:pStyle w:val="null3"/>
              <w:ind w:firstLine="640"/>
              <w:jc w:val="both"/>
            </w:pPr>
            <w:r>
              <w:rPr>
                <w:rFonts w:ascii="仿宋_GB2312" w:hAnsi="仿宋_GB2312" w:cs="仿宋_GB2312" w:eastAsia="仿宋_GB2312"/>
                <w:sz w:val="32"/>
              </w:rPr>
              <w:t>《自然资源部办公厅关于加强国土空间规划监督管理的通知》《中共中央国务院关于做好</w:t>
            </w:r>
            <w:r>
              <w:rPr>
                <w:rFonts w:ascii="仿宋_GB2312" w:hAnsi="仿宋_GB2312" w:cs="仿宋_GB2312" w:eastAsia="仿宋_GB2312"/>
                <w:sz w:val="32"/>
              </w:rPr>
              <w:t>2023年全面推进乡村振兴重点工</w:t>
            </w:r>
            <w:r>
              <w:rPr>
                <w:rFonts w:ascii="仿宋_GB2312" w:hAnsi="仿宋_GB2312" w:cs="仿宋_GB2312" w:eastAsia="仿宋_GB2312"/>
                <w:sz w:val="32"/>
              </w:rPr>
              <w:t>作的意见》</w:t>
            </w:r>
          </w:p>
          <w:p>
            <w:pPr>
              <w:pStyle w:val="null3"/>
              <w:ind w:firstLine="640"/>
              <w:jc w:val="both"/>
            </w:pPr>
            <w:r>
              <w:rPr>
                <w:rFonts w:ascii="仿宋_GB2312" w:hAnsi="仿宋_GB2312" w:cs="仿宋_GB2312" w:eastAsia="仿宋_GB2312"/>
                <w:sz w:val="32"/>
              </w:rPr>
              <w:t>《陕西省自然资源厅关于加快推进市县国土空间规划编制工作的通知》</w:t>
            </w:r>
          </w:p>
          <w:p>
            <w:pPr>
              <w:pStyle w:val="null3"/>
              <w:ind w:firstLine="640"/>
              <w:jc w:val="both"/>
            </w:pPr>
            <w:r>
              <w:rPr>
                <w:rFonts w:ascii="仿宋_GB2312" w:hAnsi="仿宋_GB2312" w:cs="仿宋_GB2312" w:eastAsia="仿宋_GB2312"/>
                <w:sz w:val="32"/>
              </w:rPr>
              <w:t>《陕西省自然资源厅关于印发〈陕西省国土空间规划（</w:t>
            </w:r>
            <w:r>
              <w:rPr>
                <w:rFonts w:ascii="仿宋_GB2312" w:hAnsi="仿宋_GB2312" w:cs="仿宋_GB2312" w:eastAsia="仿宋_GB2312"/>
                <w:sz w:val="32"/>
              </w:rPr>
              <w:t>2020-2035年）编制工作方案〉的通知》等。</w:t>
            </w:r>
          </w:p>
          <w:p>
            <w:pPr>
              <w:pStyle w:val="null3"/>
              <w:ind w:firstLine="640"/>
              <w:jc w:val="both"/>
            </w:pPr>
            <w:r>
              <w:rPr>
                <w:rFonts w:ascii="仿宋_GB2312" w:hAnsi="仿宋_GB2312" w:cs="仿宋_GB2312" w:eastAsia="仿宋_GB2312"/>
                <w:sz w:val="32"/>
              </w:rPr>
              <w:t>规范规程，包括：</w:t>
            </w:r>
          </w:p>
          <w:p>
            <w:pPr>
              <w:pStyle w:val="null3"/>
              <w:ind w:firstLine="640"/>
              <w:jc w:val="both"/>
            </w:pPr>
            <w:r>
              <w:rPr>
                <w:rFonts w:ascii="仿宋_GB2312" w:hAnsi="仿宋_GB2312" w:cs="仿宋_GB2312" w:eastAsia="仿宋_GB2312"/>
                <w:sz w:val="32"/>
              </w:rPr>
              <w:t>《城镇开发边界划定指南（试行）》</w:t>
            </w:r>
          </w:p>
          <w:p>
            <w:pPr>
              <w:pStyle w:val="null3"/>
              <w:ind w:firstLine="640"/>
              <w:jc w:val="both"/>
            </w:pPr>
            <w:r>
              <w:rPr>
                <w:rFonts w:ascii="仿宋_GB2312" w:hAnsi="仿宋_GB2312" w:cs="仿宋_GB2312" w:eastAsia="仿宋_GB2312"/>
                <w:sz w:val="32"/>
              </w:rPr>
              <w:t>《生态保护红线划定指南》</w:t>
            </w:r>
          </w:p>
          <w:p>
            <w:pPr>
              <w:pStyle w:val="null3"/>
              <w:ind w:firstLine="640"/>
              <w:jc w:val="both"/>
            </w:pPr>
            <w:r>
              <w:rPr>
                <w:rFonts w:ascii="仿宋_GB2312" w:hAnsi="仿宋_GB2312" w:cs="仿宋_GB2312" w:eastAsia="仿宋_GB2312"/>
                <w:sz w:val="32"/>
              </w:rPr>
              <w:t>《国土空间调查、规划、用途管制用地用海分类指南》</w:t>
            </w:r>
          </w:p>
          <w:p>
            <w:pPr>
              <w:pStyle w:val="null3"/>
              <w:ind w:firstLine="640"/>
              <w:jc w:val="both"/>
            </w:pPr>
            <w:r>
              <w:rPr>
                <w:rFonts w:ascii="仿宋_GB2312" w:hAnsi="仿宋_GB2312" w:cs="仿宋_GB2312" w:eastAsia="仿宋_GB2312"/>
                <w:sz w:val="32"/>
              </w:rPr>
              <w:t>《城市综合交通体系规划标准》</w:t>
            </w:r>
          </w:p>
          <w:p>
            <w:pPr>
              <w:pStyle w:val="null3"/>
              <w:ind w:firstLine="640"/>
              <w:jc w:val="both"/>
            </w:pPr>
            <w:r>
              <w:rPr>
                <w:rFonts w:ascii="仿宋_GB2312" w:hAnsi="仿宋_GB2312" w:cs="仿宋_GB2312" w:eastAsia="仿宋_GB2312"/>
                <w:sz w:val="32"/>
              </w:rPr>
              <w:t>《城市居住区规划设计标准》</w:t>
            </w:r>
          </w:p>
          <w:p>
            <w:pPr>
              <w:pStyle w:val="null3"/>
              <w:ind w:firstLine="640"/>
              <w:jc w:val="both"/>
            </w:pPr>
            <w:r>
              <w:rPr>
                <w:rFonts w:ascii="仿宋_GB2312" w:hAnsi="仿宋_GB2312" w:cs="仿宋_GB2312" w:eastAsia="仿宋_GB2312"/>
                <w:sz w:val="32"/>
              </w:rPr>
              <w:t>《城市综合防灾规划标准》</w:t>
            </w:r>
          </w:p>
          <w:p>
            <w:pPr>
              <w:pStyle w:val="null3"/>
              <w:ind w:firstLine="640"/>
              <w:jc w:val="both"/>
            </w:pPr>
            <w:r>
              <w:rPr>
                <w:rFonts w:ascii="仿宋_GB2312" w:hAnsi="仿宋_GB2312" w:cs="仿宋_GB2312" w:eastAsia="仿宋_GB2312"/>
                <w:sz w:val="32"/>
              </w:rPr>
              <w:t>《镇规划标准》</w:t>
            </w:r>
          </w:p>
          <w:p>
            <w:pPr>
              <w:pStyle w:val="null3"/>
              <w:ind w:firstLine="640"/>
              <w:jc w:val="both"/>
            </w:pPr>
            <w:r>
              <w:rPr>
                <w:rFonts w:ascii="仿宋_GB2312" w:hAnsi="仿宋_GB2312" w:cs="仿宋_GB2312" w:eastAsia="仿宋_GB2312"/>
                <w:sz w:val="32"/>
              </w:rPr>
              <w:t>《陕西省乡镇级国土空间规划编制技术要点》等。</w:t>
            </w:r>
          </w:p>
          <w:p>
            <w:pPr>
              <w:pStyle w:val="null3"/>
              <w:ind w:firstLine="640"/>
              <w:jc w:val="both"/>
            </w:pPr>
            <w:r>
              <w:rPr>
                <w:rFonts w:ascii="仿宋_GB2312" w:hAnsi="仿宋_GB2312" w:cs="仿宋_GB2312" w:eastAsia="仿宋_GB2312"/>
                <w:sz w:val="32"/>
              </w:rPr>
              <w:t>其他相关规划资料。</w:t>
            </w:r>
          </w:p>
          <w:p>
            <w:pPr>
              <w:pStyle w:val="null3"/>
              <w:ind w:firstLine="600"/>
              <w:jc w:val="both"/>
            </w:pPr>
            <w:r>
              <w:rPr>
                <w:rFonts w:ascii="仿宋_GB2312" w:hAnsi="仿宋_GB2312" w:cs="仿宋_GB2312" w:eastAsia="仿宋_GB2312"/>
                <w:sz w:val="30"/>
              </w:rPr>
              <w:t>四、成果提交</w:t>
            </w:r>
          </w:p>
          <w:p>
            <w:pPr>
              <w:pStyle w:val="null3"/>
              <w:ind w:firstLine="640"/>
              <w:jc w:val="both"/>
            </w:pPr>
            <w:r>
              <w:rPr>
                <w:rFonts w:ascii="仿宋_GB2312" w:hAnsi="仿宋_GB2312" w:cs="仿宋_GB2312" w:eastAsia="仿宋_GB2312"/>
                <w:sz w:val="32"/>
              </w:rPr>
              <w:t>规划成果包括规划文本、规划图件、附件等，内容及深度应满足国家、省、市相关文件的要求，同时需按规定建设国土空间规划数据库（包含现状数据与规划数据），并与上级国土空间规划</w:t>
            </w:r>
            <w:r>
              <w:rPr>
                <w:rFonts w:ascii="仿宋_GB2312" w:hAnsi="仿宋_GB2312" w:cs="仿宋_GB2312" w:eastAsia="仿宋_GB2312"/>
                <w:sz w:val="32"/>
              </w:rPr>
              <w:t>“一张图”实施监督信息系统衔接。</w:t>
            </w:r>
          </w:p>
          <w:p>
            <w:pPr>
              <w:pStyle w:val="null3"/>
              <w:ind w:firstLine="640"/>
              <w:jc w:val="both"/>
            </w:pPr>
            <w:r>
              <w:rPr>
                <w:rFonts w:ascii="仿宋_GB2312" w:hAnsi="仿宋_GB2312" w:cs="仿宋_GB2312" w:eastAsia="仿宋_GB2312"/>
                <w:sz w:val="32"/>
              </w:rPr>
              <w:t>1.规划文本</w:t>
            </w:r>
            <w:r>
              <w:rPr>
                <w:rFonts w:ascii="仿宋_GB2312" w:hAnsi="仿宋_GB2312" w:cs="仿宋_GB2312" w:eastAsia="仿宋_GB2312"/>
                <w:sz w:val="32"/>
              </w:rPr>
              <w:t>。</w:t>
            </w:r>
            <w:r>
              <w:rPr>
                <w:rFonts w:ascii="仿宋_GB2312" w:hAnsi="仿宋_GB2312" w:cs="仿宋_GB2312" w:eastAsia="仿宋_GB2312"/>
                <w:sz w:val="32"/>
              </w:rPr>
              <w:t>文本内容以章节条款格式表述规划结论，包括文本条文和必要的表格</w:t>
            </w:r>
            <w:r>
              <w:rPr>
                <w:rFonts w:ascii="仿宋_GB2312" w:hAnsi="仿宋_GB2312" w:cs="仿宋_GB2312" w:eastAsia="仿宋_GB2312"/>
                <w:sz w:val="32"/>
              </w:rPr>
              <w:t>。</w:t>
            </w:r>
            <w:r>
              <w:rPr>
                <w:rFonts w:ascii="仿宋_GB2312" w:hAnsi="仿宋_GB2312" w:cs="仿宋_GB2312" w:eastAsia="仿宋_GB2312"/>
                <w:sz w:val="32"/>
              </w:rPr>
              <w:t>表述要求应法条化，表述准确规范，简明扼要，突出政策性、针对性和规定性</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2.规划图件</w:t>
            </w:r>
            <w:r>
              <w:rPr>
                <w:rFonts w:ascii="仿宋_GB2312" w:hAnsi="仿宋_GB2312" w:cs="仿宋_GB2312" w:eastAsia="仿宋_GB2312"/>
                <w:sz w:val="32"/>
              </w:rPr>
              <w:t>。</w:t>
            </w:r>
            <w:r>
              <w:rPr>
                <w:rFonts w:ascii="仿宋_GB2312" w:hAnsi="仿宋_GB2312" w:cs="仿宋_GB2312" w:eastAsia="仿宋_GB2312"/>
                <w:sz w:val="32"/>
              </w:rPr>
              <w:t>图件类型包括</w:t>
            </w:r>
            <w:r>
              <w:rPr>
                <w:rFonts w:ascii="仿宋_GB2312" w:hAnsi="仿宋_GB2312" w:cs="仿宋_GB2312" w:eastAsia="仿宋_GB2312"/>
                <w:sz w:val="32"/>
              </w:rPr>
              <w:t>街道办辖域</w:t>
            </w:r>
            <w:r>
              <w:rPr>
                <w:rFonts w:ascii="仿宋_GB2312" w:hAnsi="仿宋_GB2312" w:cs="仿宋_GB2312" w:eastAsia="仿宋_GB2312"/>
                <w:sz w:val="32"/>
              </w:rPr>
              <w:t>和</w:t>
            </w:r>
            <w:r>
              <w:rPr>
                <w:rFonts w:ascii="仿宋_GB2312" w:hAnsi="仿宋_GB2312" w:cs="仿宋_GB2312" w:eastAsia="仿宋_GB2312"/>
                <w:sz w:val="32"/>
              </w:rPr>
              <w:t>城</w:t>
            </w:r>
            <w:r>
              <w:rPr>
                <w:rFonts w:ascii="仿宋_GB2312" w:hAnsi="仿宋_GB2312" w:cs="仿宋_GB2312" w:eastAsia="仿宋_GB2312"/>
                <w:sz w:val="32"/>
              </w:rPr>
              <w:t>区两个层次</w:t>
            </w:r>
            <w:r>
              <w:rPr>
                <w:rFonts w:ascii="仿宋_GB2312" w:hAnsi="仿宋_GB2312" w:cs="仿宋_GB2312" w:eastAsia="仿宋_GB2312"/>
                <w:sz w:val="32"/>
              </w:rPr>
              <w:t>。</w:t>
            </w:r>
            <w:r>
              <w:rPr>
                <w:rFonts w:ascii="仿宋_GB2312" w:hAnsi="仿宋_GB2312" w:cs="仿宋_GB2312" w:eastAsia="仿宋_GB2312"/>
                <w:sz w:val="32"/>
              </w:rPr>
              <w:t>制图规范</w:t>
            </w:r>
            <w:r>
              <w:rPr>
                <w:rFonts w:ascii="仿宋_GB2312" w:hAnsi="仿宋_GB2312" w:cs="仿宋_GB2312" w:eastAsia="仿宋_GB2312"/>
                <w:sz w:val="32"/>
              </w:rPr>
              <w:t>应</w:t>
            </w:r>
            <w:r>
              <w:rPr>
                <w:rFonts w:ascii="仿宋_GB2312" w:hAnsi="仿宋_GB2312" w:cs="仿宋_GB2312" w:eastAsia="仿宋_GB2312"/>
                <w:sz w:val="32"/>
              </w:rPr>
              <w:t>符合相关制图规范要求，明确表示项目名称、图名、比例尺、图例、绘制时间等</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3.数据库</w:t>
            </w:r>
            <w:r>
              <w:rPr>
                <w:rFonts w:ascii="仿宋_GB2312" w:hAnsi="仿宋_GB2312" w:cs="仿宋_GB2312" w:eastAsia="仿宋_GB2312"/>
                <w:sz w:val="32"/>
              </w:rPr>
              <w:t>。</w:t>
            </w:r>
            <w:r>
              <w:rPr>
                <w:rFonts w:ascii="仿宋_GB2312" w:hAnsi="仿宋_GB2312" w:cs="仿宋_GB2312" w:eastAsia="仿宋_GB2312"/>
                <w:sz w:val="32"/>
              </w:rPr>
              <w:t>按照统一的国土空间规划数据库标准与规划编制工作同步建设、同步报批</w:t>
            </w:r>
            <w:r>
              <w:rPr>
                <w:rFonts w:ascii="仿宋_GB2312" w:hAnsi="仿宋_GB2312" w:cs="仿宋_GB2312" w:eastAsia="仿宋_GB2312"/>
                <w:sz w:val="32"/>
              </w:rPr>
              <w:t>，并</w:t>
            </w:r>
            <w:r>
              <w:rPr>
                <w:rFonts w:ascii="仿宋_GB2312" w:hAnsi="仿宋_GB2312" w:cs="仿宋_GB2312" w:eastAsia="仿宋_GB2312"/>
                <w:sz w:val="32"/>
              </w:rPr>
              <w:t>纳入国土空间规划</w:t>
            </w:r>
            <w:r>
              <w:rPr>
                <w:rFonts w:ascii="仿宋_GB2312" w:hAnsi="仿宋_GB2312" w:cs="仿宋_GB2312" w:eastAsia="仿宋_GB2312"/>
                <w:sz w:val="32"/>
              </w:rPr>
              <w:t>"一张图"实施监督信息系统</w:t>
            </w:r>
            <w:r>
              <w:rPr>
                <w:rFonts w:ascii="仿宋_GB2312" w:hAnsi="仿宋_GB2312" w:cs="仿宋_GB2312" w:eastAsia="仿宋_GB2312"/>
                <w:sz w:val="32"/>
              </w:rPr>
              <w:t>，</w:t>
            </w:r>
            <w:r>
              <w:rPr>
                <w:rFonts w:ascii="仿宋_GB2312" w:hAnsi="仿宋_GB2312" w:cs="仿宋_GB2312" w:eastAsia="仿宋_GB2312"/>
                <w:sz w:val="32"/>
              </w:rPr>
              <w:t>数据库与文本、表格、图集内容必须逻辑一致</w:t>
            </w:r>
          </w:p>
          <w:p>
            <w:pPr>
              <w:pStyle w:val="null3"/>
              <w:ind w:firstLine="640"/>
              <w:jc w:val="both"/>
            </w:pPr>
            <w:r>
              <w:rPr>
                <w:rFonts w:ascii="仿宋_GB2312" w:hAnsi="仿宋_GB2312" w:cs="仿宋_GB2312" w:eastAsia="仿宋_GB2312"/>
                <w:sz w:val="32"/>
              </w:rPr>
              <w:t>4.附件</w:t>
            </w:r>
            <w:r>
              <w:rPr>
                <w:rFonts w:ascii="仿宋_GB2312" w:hAnsi="仿宋_GB2312" w:cs="仿宋_GB2312" w:eastAsia="仿宋_GB2312"/>
                <w:sz w:val="32"/>
              </w:rPr>
              <w:t>。</w:t>
            </w:r>
            <w:r>
              <w:rPr>
                <w:rFonts w:ascii="仿宋_GB2312" w:hAnsi="仿宋_GB2312" w:cs="仿宋_GB2312" w:eastAsia="仿宋_GB2312"/>
                <w:sz w:val="32"/>
              </w:rPr>
              <w:t>主要内容包括规划说明、规划编制情况说明、专家论证意见及修改说明</w:t>
            </w:r>
            <w:r>
              <w:rPr>
                <w:rFonts w:ascii="仿宋_GB2312" w:hAnsi="仿宋_GB2312" w:cs="仿宋_GB2312" w:eastAsia="仿宋_GB2312"/>
                <w:sz w:val="32"/>
              </w:rPr>
              <w:t>和程序性材料。</w:t>
            </w:r>
            <w:r>
              <w:rPr>
                <w:rFonts w:ascii="仿宋_GB2312" w:hAnsi="仿宋_GB2312" w:cs="仿宋_GB2312" w:eastAsia="仿宋_GB2312"/>
                <w:sz w:val="32"/>
              </w:rPr>
              <w:t>程序性材料</w:t>
            </w:r>
            <w:r>
              <w:rPr>
                <w:rFonts w:ascii="仿宋_GB2312" w:hAnsi="仿宋_GB2312" w:cs="仿宋_GB2312" w:eastAsia="仿宋_GB2312"/>
                <w:sz w:val="32"/>
              </w:rPr>
              <w:t>包括</w:t>
            </w:r>
            <w:r>
              <w:rPr>
                <w:rFonts w:ascii="仿宋_GB2312" w:hAnsi="仿宋_GB2312" w:cs="仿宋_GB2312" w:eastAsia="仿宋_GB2312"/>
                <w:sz w:val="32"/>
              </w:rPr>
              <w:t>乡镇人民代表大会意见的采纳情况、公众和有关部门意见及采纳情况等</w:t>
            </w:r>
          </w:p>
          <w:p>
            <w:pPr>
              <w:pStyle w:val="null3"/>
              <w:ind w:firstLine="600"/>
              <w:jc w:val="both"/>
            </w:pPr>
            <w:r>
              <w:rPr>
                <w:rFonts w:ascii="仿宋_GB2312" w:hAnsi="仿宋_GB2312" w:cs="仿宋_GB2312" w:eastAsia="仿宋_GB2312"/>
                <w:sz w:val="30"/>
              </w:rPr>
              <w:t>五、服务期</w:t>
            </w:r>
          </w:p>
          <w:p>
            <w:pPr>
              <w:pStyle w:val="null3"/>
              <w:ind w:firstLine="640"/>
              <w:jc w:val="both"/>
            </w:pPr>
            <w:r>
              <w:rPr>
                <w:rFonts w:ascii="仿宋_GB2312" w:hAnsi="仿宋_GB2312" w:cs="仿宋_GB2312" w:eastAsia="仿宋_GB2312"/>
                <w:sz w:val="32"/>
              </w:rPr>
              <w:t>自合同签订之日起</w:t>
            </w:r>
            <w:r>
              <w:rPr>
                <w:rFonts w:ascii="仿宋_GB2312" w:hAnsi="仿宋_GB2312" w:cs="仿宋_GB2312" w:eastAsia="仿宋_GB2312"/>
                <w:sz w:val="32"/>
              </w:rPr>
              <w:t>60日历天。</w:t>
            </w:r>
          </w:p>
          <w:p>
            <w:pPr>
              <w:pStyle w:val="null3"/>
              <w:ind w:firstLine="640"/>
              <w:jc w:val="both"/>
            </w:pPr>
            <w:r>
              <w:rPr>
                <w:rFonts w:ascii="仿宋_GB2312" w:hAnsi="仿宋_GB2312" w:cs="仿宋_GB2312" w:eastAsia="仿宋_GB2312"/>
                <w:sz w:val="32"/>
              </w:rPr>
              <w:t>六、付款方式</w:t>
            </w:r>
          </w:p>
          <w:p>
            <w:pPr>
              <w:pStyle w:val="null3"/>
            </w:pPr>
            <w:r>
              <w:rPr>
                <w:rFonts w:ascii="仿宋_GB2312" w:hAnsi="仿宋_GB2312" w:cs="仿宋_GB2312" w:eastAsia="仿宋_GB2312"/>
                <w:sz w:val="32"/>
              </w:rPr>
              <w:t>合同签订后总金额分二期支付，具体分为：第一期在成果提交至主管部门验收后，支付总费用的</w:t>
            </w:r>
            <w:r>
              <w:rPr>
                <w:rFonts w:ascii="仿宋_GB2312" w:hAnsi="仿宋_GB2312" w:cs="仿宋_GB2312" w:eastAsia="仿宋_GB2312"/>
                <w:sz w:val="32"/>
              </w:rPr>
              <w:t>50％合同款，第二期在成果经验收、审批及提交所有成果资料后，支付剩余50％合同款。</w:t>
            </w:r>
          </w:p>
          <w:p>
            <w:pPr>
              <w:pStyle w:val="null3"/>
              <w:ind w:firstLine="640"/>
              <w:jc w:val="both"/>
            </w:pPr>
            <w:r>
              <w:rPr>
                <w:rFonts w:ascii="仿宋_GB2312" w:hAnsi="仿宋_GB2312" w:cs="仿宋_GB2312" w:eastAsia="仿宋_GB2312"/>
                <w:sz w:val="32"/>
              </w:rPr>
              <w:t>七、是否面向中小企业</w:t>
            </w:r>
          </w:p>
          <w:p>
            <w:pPr>
              <w:pStyle w:val="null3"/>
              <w:ind w:firstLine="640"/>
              <w:jc w:val="both"/>
            </w:pPr>
            <w:r>
              <w:rPr>
                <w:rFonts w:ascii="仿宋_GB2312" w:hAnsi="仿宋_GB2312" w:cs="仿宋_GB2312" w:eastAsia="仿宋_GB2312"/>
                <w:sz w:val="32"/>
              </w:rPr>
              <w:t>面向中小企业。</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配备服务相关的人员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配备服务相关的设施设备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响应磋商文件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60日历天（具体起止日期以合同签订时间为准）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60日历天（具体起止日期以合同签订时间为准）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采购人组织验收评估，依据磋商文件、响应文件、成交通知书、合同文件及国家相关规范及标准进行验收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采购人组织验收评估，依据磋商文件、响应文件、成交通知书、合同文件及国家相关规范及标准进行验收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第一期在成果提交至主管部门验收后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第二期在成果经验收、审批及提交所有成果资料后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第一期在成果提交至主管部门验收后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第二期在成果经验收、审批及提交所有成果资料后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业绩证明文件.pdf 中小企业声明函 商务应答表 供应商应提交的相关资格证明材料 报价表 供应商资格证明文件.pdf 响应文件封面 残疾人福利性单位声明函 服务方案 标的清单 其他资料.docx 响应函 监狱企业的证明文件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业绩证明文件.pdf 中小企业声明函 商务应答表 供应商应提交的相关资格证明材料 报价表 供应商资格证明文件.pdf 响应文件封面 残疾人福利性单位声明函 服务方案 标的清单 其他资料.docx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业绩证明文件.pdf 中小企业声明函 商务应答表 供应商应提交的相关资格证明材料 报价表 供应商资格证明文件.pdf 响应文件封面 残疾人福利性单位声明函 服务方案 其他资料.docx 标的清单 响应函 监狱企业的证明文件 分项报价表.pdf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业绩证明文件.pdf 中小企业声明函 商务应答表 供应商应提交的相关资格证明材料 报价表 供应商资格证明文件.pdf 响应文件封面 残疾人福利性单位声明函 服务方案 其他资料.docx 标的清单 响应函 监狱企业的证明文件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业绩证明文件.pdf 中小企业声明函 商务应答表 供应商应提交的相关资格证明材料 报价表 供应商资格证明文件.pdf 响应文件封面 残疾人福利性单位声明函 服务方案 其他资料.docx 标的清单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业绩证明文件.pdf 中小企业声明函 商务应答表 供应商应提交的相关资格证明材料 报价表 供应商资格证明文件.pdf 响应文件封面 残疾人福利性单位声明函 服务方案 标的清单 其他资料.docx 响应函 监狱企业的证明文件 分项报价表.pdf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供应商应授权合法的人员参加磋商，其中法定代表人直接参加的，须附法定代表人身份证，并与营业执照上信息一致；被授权代表参加的，须附法定代表人授权书及被授权人身份证；</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项目负责人具有城乡规划类或土地规划类专业中级及以上职称，且在本单位缴纳社保；</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供应商须具备相关行政主管部门颁发的城乡规划编制乙级及以上或土地规划编制乙级及以上资质证书；</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提供 2025 年1月 1 日以来已缴存的至少三个月的社会保障资金缴存单据或社保机构开具的社会保险参保缴费情况证明。依法不需要缴纳社会保障资金的供应商应提供相关文件证明；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依法缴纳税收证明</w:t>
            </w:r>
          </w:p>
        </w:tc>
        <w:tc>
          <w:tcPr>
            <w:tcW w:type="dxa" w:w="3322"/>
          </w:tcPr>
          <w:p>
            <w:pPr>
              <w:pStyle w:val="null3"/>
            </w:pPr>
            <w:r>
              <w:rPr>
                <w:rFonts w:ascii="仿宋_GB2312" w:hAnsi="仿宋_GB2312" w:cs="仿宋_GB2312" w:eastAsia="仿宋_GB2312"/>
              </w:rPr>
              <w:t>提供 2025年 1 月 1 日以来已缴纳的至少三个月的纳税证明或完税证明，纳税证明或完税证明上应有代收机构或税务机关的公章。依法免税的供应商应提供相关文件证明；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供应商须提供 2024年度的财务审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供应商未被列入“信用中国”网站(www.creditchina.gov.cn)“记录列入失信被执行人和重大税收违法失信主体截图；不处于中国政府采购网(www.ccgp. gov.cn)“政府采购严重违法失信行为信息记录 ”中的禁止参加政府采购活动期间截图；</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提供具有履行本合同所必需的设备和专业技术能力的说明（提供书面承诺）；</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书面承诺 供应商单位负责人为同一人或者存在直接控股、管理关系的，不得参加同一合同项下的政府采购活动（提供书面承诺）。</w:t>
            </w:r>
          </w:p>
        </w:tc>
        <w:tc>
          <w:tcPr>
            <w:tcW w:type="dxa" w:w="1661"/>
          </w:tcPr>
          <w:p>
            <w:pPr>
              <w:pStyle w:val="null3"/>
            </w:pPr>
            <w:r>
              <w:rPr>
                <w:rFonts w:ascii="仿宋_GB2312" w:hAnsi="仿宋_GB2312" w:cs="仿宋_GB2312" w:eastAsia="仿宋_GB2312"/>
              </w:rPr>
              <w:t>供应商应提交的相关资格证明材料 供应商资格证明文件.pdf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供应商应授权合法的人员参加磋商，其中法定代表人直接参加的，须附法定代表人身份证，并与营业执照上信息一致；被授权代表参加的，须附法定代表人授权书及被授权人身份证；</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项目负责人具有城乡规划类或土地规划类专业中级及以上职称，且在本单位缴纳社保；</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供应商须具备相关行政主管部门颁发的城乡规划编制乙级及以上或土地规划编制乙级及以上资质证书；</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提供 2025 年1月 1 日以来已缴存的至少三个月的社会保障资金缴存单据或社保机构开具的社会保险参保缴费情况证明。依法不需要缴纳社会保障资金的供应商应提供相关文件证明；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依法缴纳税收证明</w:t>
            </w:r>
          </w:p>
        </w:tc>
        <w:tc>
          <w:tcPr>
            <w:tcW w:type="dxa" w:w="3322"/>
          </w:tcPr>
          <w:p>
            <w:pPr>
              <w:pStyle w:val="null3"/>
            </w:pPr>
            <w:r>
              <w:rPr>
                <w:rFonts w:ascii="仿宋_GB2312" w:hAnsi="仿宋_GB2312" w:cs="仿宋_GB2312" w:eastAsia="仿宋_GB2312"/>
              </w:rPr>
              <w:t>提供 2025年 1 月 1 日以来已缴纳的至少三个月的纳税证明或完税证明，纳税证明或完税证明上应有代收机构或税务机关的公章。依法免税的供应商应提供相关文件证明；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供应商须提供 2024年度的财务审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供应商未被列入“信用中国”网站(www.creditchina.gov.cn)“记录列入失信被执行人和重大税收违法失信主体截图；不处于中国政府采购网(www.ccgp. gov.cn)“政府采购严重违法失信行为信息记录 ”中的禁止参加政府采购活动期间截图；</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提供具有履行本合同所必需的设备和专业技术能力的说明（提供书面承诺）；</w:t>
            </w:r>
          </w:p>
        </w:tc>
        <w:tc>
          <w:tcPr>
            <w:tcW w:type="dxa" w:w="1661"/>
          </w:tcPr>
          <w:p>
            <w:pPr>
              <w:pStyle w:val="null3"/>
            </w:pPr>
            <w:r>
              <w:rPr>
                <w:rFonts w:ascii="仿宋_GB2312" w:hAnsi="仿宋_GB2312" w:cs="仿宋_GB2312" w:eastAsia="仿宋_GB2312"/>
              </w:rPr>
              <w:t>供应商应提交的相关资格证明材料 供应商资格证明文件.pdf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供应商单位负责人为同一人或者存在直接控股、管理关系的，不得参加同一合同项下的政府采购活动（提供书面承诺）。</w:t>
            </w:r>
          </w:p>
        </w:tc>
        <w:tc>
          <w:tcPr>
            <w:tcW w:type="dxa" w:w="1661"/>
          </w:tcPr>
          <w:p>
            <w:pPr>
              <w:pStyle w:val="null3"/>
            </w:pPr>
            <w:r>
              <w:rPr>
                <w:rFonts w:ascii="仿宋_GB2312" w:hAnsi="仿宋_GB2312" w:cs="仿宋_GB2312" w:eastAsia="仿宋_GB2312"/>
              </w:rPr>
              <w:t>供应商应提交的相关资格证明材料 供应商资格证明文件.pdf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①提供针对本项目的服务方案，描述详细，方案满足项目服务要求，能实现项目目标，磋商小组成员根据其响应情况赋分。 方案描述详细、满足项目要求，响应项目要求的赋 (10-15] 分； 方案描述较详细，仅响应总体方案和服务方案但无实施计划赋 (5-10 ]分； 方案描述一般，设计方案基本满足项目服务要求赋 (0-5 ]分； ②针对本项目提出详细可行的技术方案，对技术路线、 工作流程、人员投入、仪器设备投入等内容完整性和齐全性进行比较，磋商小组成员根据其响应情况赋分。 技术方案完整详细，科学可行的赋 (10-15 ]分； 技术方案较为完整，可行性较高的赋 (5-10] 分； 技术方案一般，总体较差的赋( 0-5]分； ③对本项目实施过程中重点难点分析及应对措施，磋商小组成员根据其响应情况进行赋分。 重难点理解到位、应对措施合理可行的赋 (7-10] 分； 重难点理解基本到位、应对措施较为合理可行的赋 (4-7] 分； 重难点理解不到位、应对措施一般的赋 (0-4]分； ④工作进度安排及确保服务期的质量保证措施，磋商小组成员根据其响应情况进行赋分。 工作进度安排科学合理、质量保证措施详细具体赋 (7-10] 分； 工作进度安排较为合理、质量保证措施较为详细赋 (4-7] 分； 工作进度安排较为合理、质量保证措施一般赋 (0-4] 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1、投标人拟派本项目的项目负责人具备城乡规划类或土地规划类专业高级职称且具备国家注册类资格证书的得5分，否则不得分（同时提供加盖公章的职称证、注册证）。 2、投标人拟派本项目的设计团队中具有城乡规划类或土地规划类专业中级（含）及以上职称的人员，每提供一位人员得 2 分（项目负责人除外），最高得10分（以提供的加盖公章的职称证复印件或加盖公章的官网证明截图为准，否则在评标时不得分）。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投标人对服务、项目实施过程中的服务做出服务承诺，承诺内容全面，实际可行性较高的得(6-10]分，承诺内容比较全面，有一定的可行性的得(1-6]分，承诺内容片面，可行性较差的得(0-1]分。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合理化建议应贴合实际，有利于项目实施，根据响应程度，由磋商小组综合评审自主打分 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供应商2023年1月1日至今同类项目业绩，每提供1份得2分，最高得6分；业绩证明（以合同或中标通知书为准，须在投标文件中附合同或中标通知书的扫描件加盖单位公章）弄虚作假者，取消其中标资格。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价格分统一采用低价优先法计算，即满足磋商文件要求且磋商价格最低的响应报价为磋商基准价，其价格分为满分（报价高于预算价或低于成本价为无效报价）其他供应商的价格分统一按照下列公式计算： 磋商报价得分=(磋商基准价／响应报价)×15分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①提供针对本项目的服务方案，描述详细，方案满足项目服务要求，能实现项目目标，磋商小组成员根据其响应情况赋分。 方案描述详细、满足项目要求，响应项目要求的赋 (10-15] 分； 方案描述较详细，仅响应总体方案和服务方案但无实施计划赋 (5-10 ]分； 方案描述一般，设计方案基本满足项目服务要求赋 (0-5 ]分； ②针对本项目提出详细可行的技术方案，对技术路线、 工作流程、人员投入、仪器设备投入等内容完整性和齐全性进行比较，磋商小组成员根据其响应情况赋分。 技术方案完整详细，科学可行的赋 (10-15 ]分； 技术方案较为完整，可行性较高的赋 (5-10] 分； 技术方案一般，总体较差的赋( 0-5]分； ③对本项目实施过程中重点难点分析及应对措施，磋商小组成员根据其响应情况进行赋分。 重难点理解到位、应对措施合理可行的赋 (7-10] 分； 重难点理解基本到位、应对措施较为合理可行的赋 (4-7] 分； 重难点理解不到位、应对措施一般的赋 (0-4]分； ④工作进度安排及确保服务期的质量保证措施，磋商小组成员根据其响应情况进行赋分。 工作进度安排科学合理、质量保证措施详细具体赋 (7-10] 分； 工作进度安排较为合理、质量保证措施较为详细赋 (4-7] 分； 工作进度安排较为合理、质量保证措施一般赋 (0-4] 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1、投标人拟派本项目的项目负责人具备城乡规划类或土地规划类专业高级职称且具备国家注册类资格证书的得5分，否则不得分（同时提供加盖公章的职称证、注册证）。 2、投标人拟派本项目的设计团队中具有城乡规划类或土地规划类专业中级（含）及以上职称的人员，每提供一位人员得 2 分（项目负责人除外），最高得10分（以提供的加盖公章的职称证复印件或加盖公章的官网证明截图为准，否则在评标时不得分）。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投标人对服务、项目实施过程中的服务做出服务承诺，承诺内容全面，实际可行性较高的得(6-10]分，承诺内容比较全面，有一定的可行性的得(1-6]分，承诺内容片面，可行性较差的得(0-1]分。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合理化建议应贴合实际，有利于项目实施，根据响应程度，由磋商小组综合评审自主打分 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供应商2023年1月1日至今同类项目业绩，每提供1份得2分，最高得6分；业绩证明（以合同或中标通知书为准，须在投标文件中附合同或中标通知书的扫描件加盖单位公章）弄虚作假者，取消其中标资格。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价格分统一采用低价优先法计算，即满足磋商文件要求且磋商价格最低的响应报价为磋商基准价，其价格分为满分（报价高于预算价或低于成本价为无效报价）其他供应商的价格分统一按照下列公式计算： 磋商报价得分=(磋商基准价／响应报价)×15分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详见附件：业绩证明文件.pdf</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详见附件：业绩证明文件.pdf</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详见附件：合同范本空间规划编制工作项目.docx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