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版本号：ZZT-CG-2025110320251124001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富平县2024年2次城镇开发边界局部优化调整工作项目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ZZT-CG-20251103</w:t>
      </w:r>
      <w:r>
        <w:br/>
      </w:r>
      <w:r>
        <w:br/>
      </w:r>
      <w:r>
        <w:br/>
      </w:r>
    </w:p>
    <w:p>
      <w:pPr>
        <w:pStyle w:val="null3"/>
        <w:jc w:val="center"/>
        <w:outlineLvl w:val="2"/>
      </w:pPr>
      <w:r>
        <w:rPr>
          <w:rFonts w:ascii="仿宋_GB2312" w:hAnsi="仿宋_GB2312" w:cs="仿宋_GB2312" w:eastAsia="仿宋_GB2312"/>
          <w:sz w:val="28"/>
          <w:b/>
        </w:rPr>
        <w:t>富平县自然资源局（本级）</w:t>
      </w:r>
    </w:p>
    <w:p>
      <w:pPr>
        <w:pStyle w:val="null3"/>
        <w:jc w:val="center"/>
        <w:outlineLvl w:val="2"/>
      </w:pPr>
      <w:r>
        <w:rPr>
          <w:rFonts w:ascii="仿宋_GB2312" w:hAnsi="仿宋_GB2312" w:cs="仿宋_GB2312" w:eastAsia="仿宋_GB2312"/>
          <w:sz w:val="28"/>
          <w:b/>
        </w:rPr>
        <w:t>中智投工程管理有限公司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中智投工程管理有限公司</w:t>
      </w:r>
      <w:r>
        <w:rPr>
          <w:rFonts w:ascii="仿宋_GB2312" w:hAnsi="仿宋_GB2312" w:cs="仿宋_GB2312" w:eastAsia="仿宋_GB2312"/>
        </w:rPr>
        <w:t>（以下简称“代理机构”）受</w:t>
      </w:r>
      <w:r>
        <w:rPr>
          <w:rFonts w:ascii="仿宋_GB2312" w:hAnsi="仿宋_GB2312" w:cs="仿宋_GB2312" w:eastAsia="仿宋_GB2312"/>
        </w:rPr>
        <w:t>富平县自然资源局（本级）</w:t>
      </w:r>
      <w:r>
        <w:rPr>
          <w:rFonts w:ascii="仿宋_GB2312" w:hAnsi="仿宋_GB2312" w:cs="仿宋_GB2312" w:eastAsia="仿宋_GB2312"/>
        </w:rPr>
        <w:t>委托，拟对</w:t>
      </w:r>
      <w:r>
        <w:rPr>
          <w:rFonts w:ascii="仿宋_GB2312" w:hAnsi="仿宋_GB2312" w:cs="仿宋_GB2312" w:eastAsia="仿宋_GB2312"/>
        </w:rPr>
        <w:t>富平县2024年2次城镇开发边界局部优化调整工作项目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ZZT-CG-20251103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富平县2024年2次城镇开发边界局部优化调整工作项目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富平县2024年2次 城镇开发边界局部优化调整相关工作，需严守合规底线， 成果符合国家及省市规范、数据准确，按约定时限完成 各环节任务，保障重点项目落地，助力县域高质量发展， 切实满足城镇建设实际需求。按照自然资源部《关于做好城镇开发边界管理的通知》（自然资发[2023]193号）、省自然资源厅《关于加强城镇边界管理工作的通知（试行）（陕自然资发[2024]2号）的相关规定进行报送、审查、论证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采购包1（富平县2024年2次城镇开发边界局部优化调整工作项目）：属于专门面向中小企业采购。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2、法定代表人授权书：法定代表人直接参加磋商时须提交法定代表人身份证明书；法定代表人授权代表参加磋商的，须出具授权书、被授权人身份证及委托人在近 3 个月内任意一个月缴纳的养老保险证明资料；</w:t>
      </w:r>
    </w:p>
    <w:p>
      <w:pPr>
        <w:pStyle w:val="null3"/>
      </w:pPr>
      <w:r>
        <w:rPr>
          <w:rFonts w:ascii="仿宋_GB2312" w:hAnsi="仿宋_GB2312" w:cs="仿宋_GB2312" w:eastAsia="仿宋_GB2312"/>
        </w:rPr>
        <w:t>3、资质要求：供应商须具备行政主管部门颁发且有效的土地规划乙级及以上资质或测绘乙级及以上资质；</w:t>
      </w:r>
    </w:p>
    <w:p>
      <w:pPr>
        <w:pStyle w:val="null3"/>
      </w:pPr>
      <w:r>
        <w:rPr>
          <w:rFonts w:ascii="仿宋_GB2312" w:hAnsi="仿宋_GB2312" w:cs="仿宋_GB2312" w:eastAsia="仿宋_GB2312"/>
        </w:rPr>
        <w:t>4、项目负责人：供应商拟派项目负责人须具备土地规划或测绘专业中级或以上职称。</w:t>
      </w:r>
    </w:p>
    <w:p>
      <w:pPr>
        <w:pStyle w:val="null3"/>
      </w:pPr>
      <w:r>
        <w:rPr>
          <w:rFonts w:ascii="仿宋_GB2312" w:hAnsi="仿宋_GB2312" w:cs="仿宋_GB2312" w:eastAsia="仿宋_GB2312"/>
        </w:rPr>
        <w:t>5、健全的财务会计制度：须提供2023年至今任意一年经审计的财务报告，审计报告应当经过注册会计师行业统一监管平台备案赋码（成立时间至提交投标文件截止时间不足一年的可提供成立后任意时段的资产负债表），或其基本存款账户开户银行出具的资信证明及基本存款账户开户许可证；</w:t>
      </w:r>
    </w:p>
    <w:p>
      <w:pPr>
        <w:pStyle w:val="null3"/>
      </w:pPr>
      <w:r>
        <w:rPr>
          <w:rFonts w:ascii="仿宋_GB2312" w:hAnsi="仿宋_GB2312" w:cs="仿宋_GB2312" w:eastAsia="仿宋_GB2312"/>
        </w:rPr>
        <w:t>6、依法缴纳税收证明：提供 2025年 1 月 1 日以来已缴纳的至少三个月的纳税证明或完税证明，纳税证明或完税证明上应有代收机构或税务机关的公章。依法免税的供应商应提供相关文件证明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7、社会保障资金证明：提供 2025 年1月 1 日以来已缴存的至少三个月的社会保障资金缴存单据或社保机构开具的社会保险参保缴费情况证明。依法不需要缴纳社会保障资金的供应商应提供相关文件证明；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8、网站截图：供应商未被列入“信用中国”网站(www.creditchina.gov.cn)“记录列入失信被执行人和重大税收违法失信主体截图；不处于中国政府采购网(www.ccgp. gov.cn)“政府采购严重违法失信行为信息记录 ”中的禁止参加政府采购活动期间截图</w:t>
      </w:r>
    </w:p>
    <w:p>
      <w:pPr>
        <w:pStyle w:val="null3"/>
      </w:pPr>
      <w:r>
        <w:rPr>
          <w:rFonts w:ascii="仿宋_GB2312" w:hAnsi="仿宋_GB2312" w:cs="仿宋_GB2312" w:eastAsia="仿宋_GB2312"/>
        </w:rPr>
        <w:t>9、书面声明：参加本次政府采购活动前三年内在经营活动中没有重大违纪的书面声明</w:t>
      </w:r>
    </w:p>
    <w:p>
      <w:pPr>
        <w:pStyle w:val="null3"/>
      </w:pPr>
      <w:r>
        <w:rPr>
          <w:rFonts w:ascii="仿宋_GB2312" w:hAnsi="仿宋_GB2312" w:cs="仿宋_GB2312" w:eastAsia="仿宋_GB2312"/>
        </w:rPr>
        <w:t>10、书面声明：提供具有履行本合同所必需的设备和专业技术能力的说明（提供书面承诺）</w:t>
      </w:r>
    </w:p>
    <w:p>
      <w:pPr>
        <w:pStyle w:val="null3"/>
      </w:pPr>
      <w:r>
        <w:rPr>
          <w:rFonts w:ascii="仿宋_GB2312" w:hAnsi="仿宋_GB2312" w:cs="仿宋_GB2312" w:eastAsia="仿宋_GB2312"/>
        </w:rPr>
        <w:t>11、书面承诺：单位负责人为同一人或者存在直接控股、管理关系的不同投标投标单位，不得参加同一合同项下的政府采购活动（提供书面承诺书）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富平县自然资源局（本级）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富平县莲湖大街东段83号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王晓东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13991686586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中智投工程管理有限公司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陕西省西安市未央区陕西省西安市未央区渭滨路70号水晶卡芭拉11号楼1单元11301室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卢苗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18392944018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开户名称：中智投工程管理有限公司富平县分公司</w:t>
            </w:r>
          </w:p>
          <w:p>
            <w:pPr>
              <w:pStyle w:val="null3"/>
            </w:pPr>
            <w:r>
              <w:rPr>
                <w:rFonts w:ascii="仿宋_GB2312" w:hAnsi="仿宋_GB2312" w:cs="仿宋_GB2312" w:eastAsia="仿宋_GB2312"/>
              </w:rPr>
              <w:t>开户银行：中国建设银行股份有限公司富平县支行</w:t>
            </w:r>
          </w:p>
          <w:p>
            <w:pPr>
              <w:pStyle w:val="null3"/>
            </w:pPr>
            <w:r>
              <w:rPr>
                <w:rFonts w:ascii="仿宋_GB2312" w:hAnsi="仿宋_GB2312" w:cs="仿宋_GB2312" w:eastAsia="仿宋_GB2312"/>
              </w:rPr>
              <w:t>银行账号：61050164830800003047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文件规定下浮10%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富平县自然资源局（本级）</w:t>
      </w:r>
      <w:r>
        <w:rPr>
          <w:rFonts w:ascii="仿宋_GB2312" w:hAnsi="仿宋_GB2312" w:cs="仿宋_GB2312" w:eastAsia="仿宋_GB2312"/>
        </w:rPr>
        <w:t>和</w:t>
      </w:r>
      <w:r>
        <w:rPr>
          <w:rFonts w:ascii="仿宋_GB2312" w:hAnsi="仿宋_GB2312" w:cs="仿宋_GB2312" w:eastAsia="仿宋_GB2312"/>
        </w:rPr>
        <w:t>中智投工程管理有限公司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富平县自然资源局（本级）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中智投工程管理有限公司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富平县自然资源局（本级）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中智投工程管理有限公司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以磋商文件及合同约定为准。验收依据：验收依据:按磋商文件、响应文件及澄清函、项目检查情况等综合指标进行验收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中智投工程管理有限公司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中智投工程管理有限公司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中智投工程管理有限公司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联系人：卢苗</w:t>
      </w:r>
    </w:p>
    <w:p>
      <w:pPr>
        <w:pStyle w:val="null3"/>
      </w:pPr>
      <w:r>
        <w:rPr>
          <w:rFonts w:ascii="仿宋_GB2312" w:hAnsi="仿宋_GB2312" w:cs="仿宋_GB2312" w:eastAsia="仿宋_GB2312"/>
        </w:rPr>
        <w:t>联系电话：18392944018</w:t>
      </w:r>
    </w:p>
    <w:p>
      <w:pPr>
        <w:pStyle w:val="null3"/>
      </w:pPr>
      <w:r>
        <w:rPr>
          <w:rFonts w:ascii="仿宋_GB2312" w:hAnsi="仿宋_GB2312" w:cs="仿宋_GB2312" w:eastAsia="仿宋_GB2312"/>
        </w:rPr>
        <w:t>地址：陕西省西安市未央区渭滨路70号水晶卡芭拉11号楼1单元11301室</w:t>
      </w:r>
    </w:p>
    <w:p>
      <w:pPr>
        <w:pStyle w:val="null3"/>
      </w:pPr>
      <w:r>
        <w:rPr>
          <w:rFonts w:ascii="仿宋_GB2312" w:hAnsi="仿宋_GB2312" w:cs="仿宋_GB2312" w:eastAsia="仿宋_GB2312"/>
        </w:rPr>
        <w:t>邮编：710021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富平县2024年2次 城镇开发边界局部优化调整相关工作，需严守合规底线， 成果符合国家及省市规范、数据准确，按约定时限完成 各环节任务，保障重点项目落地，助力县域高质量发展， 切实满足城镇建设实际需求。按照自然资源部《关于做好城镇开发边界管理的通知》（自然资发[2023]193号）、省自然资源厅《关于加强城镇边界管理工作的通知（试行）（陕自然资发[2024]2号）的相关规定进行报送、审查、论证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660,000.00</w:t>
      </w:r>
    </w:p>
    <w:p>
      <w:pPr>
        <w:pStyle w:val="null3"/>
      </w:pPr>
      <w:r>
        <w:rPr>
          <w:rFonts w:ascii="仿宋_GB2312" w:hAnsi="仿宋_GB2312" w:cs="仿宋_GB2312" w:eastAsia="仿宋_GB2312"/>
        </w:rPr>
        <w:t>采购包最高限价（元）: 660,000.00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富平县2024年2次城镇开发边界局部优化调整工作项目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标的名称：富平县2024年2次城镇开发边界局部优化调整工作项目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left="480" w:firstLine="466"/>
              <w:jc w:val="both"/>
            </w:pPr>
            <w:r>
              <w:rPr>
                <w:rFonts w:ascii="仿宋_GB2312" w:hAnsi="仿宋_GB2312" w:cs="仿宋_GB2312" w:eastAsia="仿宋_GB2312"/>
                <w:sz w:val="24"/>
                <w:b/>
              </w:rPr>
              <w:t>一、</w:t>
            </w:r>
            <w:r>
              <w:rPr>
                <w:rFonts w:ascii="仿宋_GB2312" w:hAnsi="仿宋_GB2312" w:cs="仿宋_GB2312" w:eastAsia="仿宋_GB2312"/>
                <w:sz w:val="24"/>
                <w:b/>
              </w:rPr>
              <w:t>项目情况</w:t>
            </w:r>
          </w:p>
          <w:p>
            <w:pPr>
              <w:pStyle w:val="null3"/>
              <w:spacing w:before="180"/>
              <w:ind w:left="480" w:firstLine="476"/>
              <w:jc w:val="both"/>
            </w:pPr>
            <w:r>
              <w:rPr>
                <w:rFonts w:ascii="仿宋_GB2312" w:hAnsi="仿宋_GB2312" w:cs="仿宋_GB2312" w:eastAsia="仿宋_GB2312"/>
                <w:sz w:val="24"/>
              </w:rPr>
              <w:t>1、项目名称：</w:t>
            </w:r>
            <w:r>
              <w:rPr>
                <w:rFonts w:ascii="仿宋_GB2312" w:hAnsi="仿宋_GB2312" w:cs="仿宋_GB2312" w:eastAsia="仿宋_GB2312"/>
                <w:sz w:val="24"/>
              </w:rPr>
              <w:t>富平县</w:t>
            </w:r>
            <w:r>
              <w:rPr>
                <w:rFonts w:ascii="仿宋_GB2312" w:hAnsi="仿宋_GB2312" w:cs="仿宋_GB2312" w:eastAsia="仿宋_GB2312"/>
                <w:sz w:val="24"/>
              </w:rPr>
              <w:t>2024年2次城镇开发边界局部优化调整工作项目</w:t>
            </w:r>
          </w:p>
          <w:p>
            <w:pPr>
              <w:pStyle w:val="null3"/>
              <w:spacing w:before="180"/>
              <w:ind w:left="480" w:firstLine="472"/>
              <w:jc w:val="both"/>
            </w:pPr>
            <w:r>
              <w:rPr>
                <w:rFonts w:ascii="仿宋_GB2312" w:hAnsi="仿宋_GB2312" w:cs="仿宋_GB2312" w:eastAsia="仿宋_GB2312"/>
                <w:sz w:val="24"/>
              </w:rPr>
              <w:t>2、最高限价：</w:t>
            </w:r>
            <w:r>
              <w:rPr>
                <w:rFonts w:ascii="仿宋_GB2312" w:hAnsi="仿宋_GB2312" w:cs="仿宋_GB2312" w:eastAsia="仿宋_GB2312"/>
                <w:sz w:val="24"/>
              </w:rPr>
              <w:t>660000.00</w:t>
            </w:r>
            <w:r>
              <w:rPr>
                <w:rFonts w:ascii="仿宋_GB2312" w:hAnsi="仿宋_GB2312" w:cs="仿宋_GB2312" w:eastAsia="仿宋_GB2312"/>
                <w:sz w:val="21"/>
              </w:rPr>
              <w:t xml:space="preserve"> </w:t>
            </w:r>
            <w:r>
              <w:rPr>
                <w:rFonts w:ascii="仿宋_GB2312" w:hAnsi="仿宋_GB2312" w:cs="仿宋_GB2312" w:eastAsia="仿宋_GB2312"/>
                <w:sz w:val="24"/>
              </w:rPr>
              <w:t>元</w:t>
            </w:r>
          </w:p>
          <w:p>
            <w:pPr>
              <w:pStyle w:val="null3"/>
              <w:spacing w:before="180"/>
              <w:ind w:left="480" w:firstLine="472"/>
              <w:jc w:val="both"/>
            </w:pPr>
            <w:r>
              <w:rPr>
                <w:rFonts w:ascii="仿宋_GB2312" w:hAnsi="仿宋_GB2312" w:cs="仿宋_GB2312" w:eastAsia="仿宋_GB2312"/>
                <w:sz w:val="24"/>
              </w:rPr>
              <w:t>3、资金来源：财政资金</w:t>
            </w:r>
          </w:p>
          <w:p>
            <w:pPr>
              <w:pStyle w:val="null3"/>
              <w:spacing w:before="180"/>
              <w:ind w:left="510" w:firstLine="462"/>
              <w:jc w:val="both"/>
            </w:pPr>
            <w:r>
              <w:rPr>
                <w:rFonts w:ascii="仿宋_GB2312" w:hAnsi="仿宋_GB2312" w:cs="仿宋_GB2312" w:eastAsia="仿宋_GB2312"/>
                <w:sz w:val="24"/>
                <w:b/>
              </w:rPr>
              <w:t>二</w:t>
            </w:r>
            <w:r>
              <w:rPr>
                <w:rFonts w:ascii="仿宋_GB2312" w:hAnsi="仿宋_GB2312" w:cs="仿宋_GB2312" w:eastAsia="仿宋_GB2312"/>
                <w:sz w:val="24"/>
                <w:b/>
              </w:rPr>
              <w:t>、主要任务及编制内容</w:t>
            </w:r>
          </w:p>
          <w:p>
            <w:pPr>
              <w:pStyle w:val="null3"/>
              <w:spacing w:before="180"/>
              <w:ind w:left="480" w:firstLine="464"/>
              <w:jc w:val="both"/>
            </w:pPr>
            <w:r>
              <w:rPr>
                <w:rFonts w:ascii="仿宋_GB2312" w:hAnsi="仿宋_GB2312" w:cs="仿宋_GB2312" w:eastAsia="仿宋_GB2312"/>
                <w:sz w:val="24"/>
              </w:rPr>
              <w:t>1、富平县城镇开发边界局部优化（2024年第1次）的工作要求、内容、计划：</w:t>
            </w:r>
          </w:p>
          <w:p>
            <w:pPr>
              <w:pStyle w:val="null3"/>
              <w:spacing w:before="180"/>
              <w:ind w:left="480" w:firstLine="464"/>
              <w:jc w:val="both"/>
            </w:pPr>
            <w:r>
              <w:rPr>
                <w:rFonts w:ascii="仿宋_GB2312" w:hAnsi="仿宋_GB2312" w:cs="仿宋_GB2312" w:eastAsia="仿宋_GB2312"/>
                <w:sz w:val="24"/>
              </w:rPr>
              <w:t>主要工作内容</w:t>
            </w:r>
          </w:p>
          <w:p>
            <w:pPr>
              <w:pStyle w:val="null3"/>
              <w:spacing w:before="180"/>
              <w:ind w:left="480" w:firstLine="464"/>
              <w:jc w:val="both"/>
            </w:pPr>
            <w:r>
              <w:rPr>
                <w:rFonts w:ascii="仿宋_GB2312" w:hAnsi="仿宋_GB2312" w:cs="仿宋_GB2312" w:eastAsia="仿宋_GB2312"/>
                <w:sz w:val="24"/>
              </w:rPr>
              <w:t>包括但不限于：</w:t>
            </w:r>
          </w:p>
          <w:p>
            <w:pPr>
              <w:pStyle w:val="null3"/>
              <w:spacing w:before="180"/>
              <w:ind w:left="480" w:firstLine="464"/>
              <w:jc w:val="both"/>
            </w:pPr>
            <w:r>
              <w:rPr>
                <w:rFonts w:ascii="仿宋_GB2312" w:hAnsi="仿宋_GB2312" w:cs="仿宋_GB2312" w:eastAsia="仿宋_GB2312"/>
                <w:sz w:val="24"/>
              </w:rPr>
              <w:t>（</w:t>
            </w:r>
            <w:r>
              <w:rPr>
                <w:rFonts w:ascii="仿宋_GB2312" w:hAnsi="仿宋_GB2312" w:cs="仿宋_GB2312" w:eastAsia="仿宋_GB2312"/>
                <w:sz w:val="24"/>
              </w:rPr>
              <w:t>1）收集开展城镇开发边界优化调整相关数据</w:t>
            </w:r>
          </w:p>
          <w:p>
            <w:pPr>
              <w:pStyle w:val="null3"/>
              <w:spacing w:before="180"/>
              <w:ind w:left="480" w:firstLine="464"/>
              <w:jc w:val="both"/>
            </w:pPr>
            <w:r>
              <w:rPr>
                <w:rFonts w:ascii="仿宋_GB2312" w:hAnsi="仿宋_GB2312" w:cs="仿宋_GB2312" w:eastAsia="仿宋_GB2312"/>
                <w:sz w:val="24"/>
              </w:rPr>
              <w:t>（</w:t>
            </w:r>
            <w:r>
              <w:rPr>
                <w:rFonts w:ascii="仿宋_GB2312" w:hAnsi="仿宋_GB2312" w:cs="仿宋_GB2312" w:eastAsia="仿宋_GB2312"/>
                <w:sz w:val="24"/>
              </w:rPr>
              <w:t>2）梳理、统计、分析符合调整要求的项目，确定调入城镇开发边界项目及数量；</w:t>
            </w:r>
          </w:p>
          <w:p>
            <w:pPr>
              <w:pStyle w:val="null3"/>
              <w:spacing w:before="180"/>
              <w:ind w:left="480" w:firstLine="464"/>
              <w:jc w:val="both"/>
            </w:pPr>
            <w:r>
              <w:rPr>
                <w:rFonts w:ascii="仿宋_GB2312" w:hAnsi="仿宋_GB2312" w:cs="仿宋_GB2312" w:eastAsia="仿宋_GB2312"/>
                <w:sz w:val="24"/>
              </w:rPr>
              <w:t>（</w:t>
            </w:r>
            <w:r>
              <w:rPr>
                <w:rFonts w:ascii="仿宋_GB2312" w:hAnsi="仿宋_GB2312" w:cs="仿宋_GB2312" w:eastAsia="仿宋_GB2312"/>
                <w:sz w:val="24"/>
              </w:rPr>
              <w:t>3）编制城镇开发边界局部调整优化方案；</w:t>
            </w:r>
          </w:p>
          <w:p>
            <w:pPr>
              <w:pStyle w:val="null3"/>
              <w:spacing w:before="180"/>
              <w:ind w:left="480" w:firstLine="464"/>
              <w:jc w:val="both"/>
            </w:pPr>
            <w:r>
              <w:rPr>
                <w:rFonts w:ascii="仿宋_GB2312" w:hAnsi="仿宋_GB2312" w:cs="仿宋_GB2312" w:eastAsia="仿宋_GB2312"/>
                <w:sz w:val="24"/>
              </w:rPr>
              <w:t>（</w:t>
            </w:r>
            <w:r>
              <w:rPr>
                <w:rFonts w:ascii="仿宋_GB2312" w:hAnsi="仿宋_GB2312" w:cs="仿宋_GB2312" w:eastAsia="仿宋_GB2312"/>
                <w:sz w:val="24"/>
              </w:rPr>
              <w:t>4）编制城镇开发边界相关图件</w:t>
            </w:r>
          </w:p>
          <w:p>
            <w:pPr>
              <w:pStyle w:val="null3"/>
              <w:spacing w:before="180"/>
              <w:ind w:left="480" w:firstLine="464"/>
              <w:jc w:val="both"/>
            </w:pPr>
            <w:r>
              <w:rPr>
                <w:rFonts w:ascii="仿宋_GB2312" w:hAnsi="仿宋_GB2312" w:cs="仿宋_GB2312" w:eastAsia="仿宋_GB2312"/>
                <w:sz w:val="24"/>
              </w:rPr>
              <w:t>（</w:t>
            </w:r>
            <w:r>
              <w:rPr>
                <w:rFonts w:ascii="仿宋_GB2312" w:hAnsi="仿宋_GB2312" w:cs="仿宋_GB2312" w:eastAsia="仿宋_GB2312"/>
                <w:sz w:val="24"/>
              </w:rPr>
              <w:t>5）建立城镇开发边界优化调整数据库；</w:t>
            </w:r>
          </w:p>
          <w:p>
            <w:pPr>
              <w:pStyle w:val="null3"/>
              <w:spacing w:before="180"/>
              <w:ind w:left="480" w:firstLine="464"/>
              <w:jc w:val="both"/>
            </w:pPr>
            <w:r>
              <w:rPr>
                <w:rFonts w:ascii="仿宋_GB2312" w:hAnsi="仿宋_GB2312" w:cs="仿宋_GB2312" w:eastAsia="仿宋_GB2312"/>
                <w:sz w:val="24"/>
              </w:rPr>
              <w:t>（</w:t>
            </w:r>
            <w:r>
              <w:rPr>
                <w:rFonts w:ascii="仿宋_GB2312" w:hAnsi="仿宋_GB2312" w:cs="仿宋_GB2312" w:eastAsia="仿宋_GB2312"/>
                <w:sz w:val="24"/>
              </w:rPr>
              <w:t>6）完成方案评审并取得专家组意见；</w:t>
            </w:r>
          </w:p>
          <w:p>
            <w:pPr>
              <w:pStyle w:val="null3"/>
              <w:spacing w:before="180"/>
              <w:ind w:left="480" w:firstLine="464"/>
              <w:jc w:val="both"/>
            </w:pPr>
            <w:r>
              <w:rPr>
                <w:rFonts w:ascii="仿宋_GB2312" w:hAnsi="仿宋_GB2312" w:cs="仿宋_GB2312" w:eastAsia="仿宋_GB2312"/>
                <w:sz w:val="24"/>
              </w:rPr>
              <w:t>（</w:t>
            </w:r>
            <w:r>
              <w:rPr>
                <w:rFonts w:ascii="仿宋_GB2312" w:hAnsi="仿宋_GB2312" w:cs="仿宋_GB2312" w:eastAsia="仿宋_GB2312"/>
                <w:sz w:val="24"/>
              </w:rPr>
              <w:t>7）上报市级进行审查及评审；</w:t>
            </w:r>
          </w:p>
          <w:p>
            <w:pPr>
              <w:pStyle w:val="null3"/>
              <w:spacing w:before="180"/>
              <w:ind w:left="480" w:firstLine="464"/>
              <w:jc w:val="both"/>
            </w:pPr>
            <w:r>
              <w:rPr>
                <w:rFonts w:ascii="仿宋_GB2312" w:hAnsi="仿宋_GB2312" w:cs="仿宋_GB2312" w:eastAsia="仿宋_GB2312"/>
                <w:sz w:val="24"/>
              </w:rPr>
              <w:t>（</w:t>
            </w:r>
            <w:r>
              <w:rPr>
                <w:rFonts w:ascii="仿宋_GB2312" w:hAnsi="仿宋_GB2312" w:cs="仿宋_GB2312" w:eastAsia="仿宋_GB2312"/>
                <w:sz w:val="24"/>
              </w:rPr>
              <w:t>8）通过国土空间规划“一张图”实施监督信息系统质检；</w:t>
            </w:r>
          </w:p>
          <w:p>
            <w:pPr>
              <w:pStyle w:val="null3"/>
              <w:spacing w:before="180"/>
              <w:ind w:left="480" w:firstLine="464"/>
              <w:jc w:val="both"/>
            </w:pPr>
            <w:r>
              <w:rPr>
                <w:rFonts w:ascii="仿宋_GB2312" w:hAnsi="仿宋_GB2312" w:cs="仿宋_GB2312" w:eastAsia="仿宋_GB2312"/>
                <w:sz w:val="24"/>
              </w:rPr>
              <w:t>（</w:t>
            </w:r>
            <w:r>
              <w:rPr>
                <w:rFonts w:ascii="仿宋_GB2312" w:hAnsi="仿宋_GB2312" w:cs="仿宋_GB2312" w:eastAsia="仿宋_GB2312"/>
                <w:sz w:val="24"/>
              </w:rPr>
              <w:t>9）上报省厅审查；</w:t>
            </w:r>
          </w:p>
          <w:p>
            <w:pPr>
              <w:pStyle w:val="null3"/>
              <w:spacing w:before="180"/>
              <w:ind w:left="480" w:firstLine="464"/>
              <w:jc w:val="both"/>
            </w:pPr>
            <w:r>
              <w:rPr>
                <w:rFonts w:ascii="仿宋_GB2312" w:hAnsi="仿宋_GB2312" w:cs="仿宋_GB2312" w:eastAsia="仿宋_GB2312"/>
                <w:sz w:val="24"/>
              </w:rPr>
              <w:t>（</w:t>
            </w:r>
            <w:r>
              <w:rPr>
                <w:rFonts w:ascii="仿宋_GB2312" w:hAnsi="仿宋_GB2312" w:cs="仿宋_GB2312" w:eastAsia="仿宋_GB2312"/>
                <w:sz w:val="24"/>
              </w:rPr>
              <w:t>10）自然资源部进行备案，并形成最终成果下发地方</w:t>
            </w:r>
          </w:p>
          <w:p>
            <w:pPr>
              <w:pStyle w:val="null3"/>
              <w:spacing w:before="180"/>
              <w:ind w:left="480" w:firstLine="464"/>
              <w:jc w:val="both"/>
            </w:pPr>
            <w:r>
              <w:rPr>
                <w:rFonts w:ascii="仿宋_GB2312" w:hAnsi="仿宋_GB2312" w:cs="仿宋_GB2312" w:eastAsia="仿宋_GB2312"/>
                <w:sz w:val="24"/>
              </w:rPr>
              <w:t>按照自然资源部《关于做好城镇开发边界管理的通知》（自然资发</w:t>
            </w:r>
            <w:r>
              <w:rPr>
                <w:rFonts w:ascii="仿宋_GB2312" w:hAnsi="仿宋_GB2312" w:cs="仿宋_GB2312" w:eastAsia="仿宋_GB2312"/>
                <w:sz w:val="24"/>
              </w:rPr>
              <w:t>[2023]193号）、省自然资源厅《关于加强城镇边界管理工作的通知（试行）（陕自然资发[2024]2号）的相关规定进行报送、审查、论证等</w:t>
            </w:r>
            <w:r>
              <w:rPr>
                <w:rFonts w:ascii="仿宋_GB2312" w:hAnsi="仿宋_GB2312" w:cs="仿宋_GB2312" w:eastAsia="仿宋_GB2312"/>
                <w:sz w:val="24"/>
                <w:b/>
              </w:rPr>
              <w:t>。</w:t>
            </w:r>
          </w:p>
          <w:p>
            <w:pPr>
              <w:pStyle w:val="null3"/>
              <w:spacing w:before="180"/>
              <w:ind w:left="480" w:firstLine="464"/>
              <w:jc w:val="both"/>
            </w:pPr>
            <w:r>
              <w:rPr>
                <w:rFonts w:ascii="仿宋_GB2312" w:hAnsi="仿宋_GB2312" w:cs="仿宋_GB2312" w:eastAsia="仿宋_GB2312"/>
                <w:sz w:val="24"/>
              </w:rPr>
              <w:t>2、富平县城镇开发边界局部优化（2024年第2次）的工作要求、内容、计划：</w:t>
            </w:r>
          </w:p>
          <w:p>
            <w:pPr>
              <w:pStyle w:val="null3"/>
              <w:spacing w:before="180"/>
              <w:ind w:left="480" w:firstLine="464"/>
              <w:jc w:val="both"/>
            </w:pPr>
            <w:r>
              <w:rPr>
                <w:rFonts w:ascii="仿宋_GB2312" w:hAnsi="仿宋_GB2312" w:cs="仿宋_GB2312" w:eastAsia="仿宋_GB2312"/>
                <w:sz w:val="24"/>
              </w:rPr>
              <w:t>主要工作内容</w:t>
            </w:r>
          </w:p>
          <w:p>
            <w:pPr>
              <w:pStyle w:val="null3"/>
              <w:spacing w:before="180"/>
              <w:ind w:left="480" w:firstLine="464"/>
              <w:jc w:val="both"/>
            </w:pPr>
            <w:r>
              <w:rPr>
                <w:rFonts w:ascii="仿宋_GB2312" w:hAnsi="仿宋_GB2312" w:cs="仿宋_GB2312" w:eastAsia="仿宋_GB2312"/>
                <w:sz w:val="24"/>
              </w:rPr>
              <w:t>包括但不限于：</w:t>
            </w:r>
          </w:p>
          <w:p>
            <w:pPr>
              <w:pStyle w:val="null3"/>
              <w:spacing w:before="180"/>
              <w:ind w:left="480" w:firstLine="464"/>
              <w:jc w:val="both"/>
            </w:pPr>
            <w:r>
              <w:rPr>
                <w:rFonts w:ascii="仿宋_GB2312" w:hAnsi="仿宋_GB2312" w:cs="仿宋_GB2312" w:eastAsia="仿宋_GB2312"/>
                <w:sz w:val="24"/>
              </w:rPr>
              <w:t>（</w:t>
            </w:r>
            <w:r>
              <w:rPr>
                <w:rFonts w:ascii="仿宋_GB2312" w:hAnsi="仿宋_GB2312" w:cs="仿宋_GB2312" w:eastAsia="仿宋_GB2312"/>
                <w:sz w:val="24"/>
              </w:rPr>
              <w:t>1）收集开展城镇开发边界优化调整相关数据</w:t>
            </w:r>
          </w:p>
          <w:p>
            <w:pPr>
              <w:pStyle w:val="null3"/>
              <w:spacing w:before="180"/>
              <w:ind w:left="480" w:firstLine="464"/>
              <w:jc w:val="both"/>
            </w:pPr>
            <w:r>
              <w:rPr>
                <w:rFonts w:ascii="仿宋_GB2312" w:hAnsi="仿宋_GB2312" w:cs="仿宋_GB2312" w:eastAsia="仿宋_GB2312"/>
                <w:sz w:val="24"/>
              </w:rPr>
              <w:t>（</w:t>
            </w:r>
            <w:r>
              <w:rPr>
                <w:rFonts w:ascii="仿宋_GB2312" w:hAnsi="仿宋_GB2312" w:cs="仿宋_GB2312" w:eastAsia="仿宋_GB2312"/>
                <w:sz w:val="24"/>
              </w:rPr>
              <w:t>2）梳理、统计、分析符合调整要求的项目，确定调入城镇开发边界项目及数量；</w:t>
            </w:r>
          </w:p>
          <w:p>
            <w:pPr>
              <w:pStyle w:val="null3"/>
              <w:spacing w:before="180"/>
              <w:ind w:left="480" w:firstLine="464"/>
              <w:jc w:val="both"/>
            </w:pPr>
            <w:r>
              <w:rPr>
                <w:rFonts w:ascii="仿宋_GB2312" w:hAnsi="仿宋_GB2312" w:cs="仿宋_GB2312" w:eastAsia="仿宋_GB2312"/>
                <w:sz w:val="24"/>
              </w:rPr>
              <w:t>（</w:t>
            </w:r>
            <w:r>
              <w:rPr>
                <w:rFonts w:ascii="仿宋_GB2312" w:hAnsi="仿宋_GB2312" w:cs="仿宋_GB2312" w:eastAsia="仿宋_GB2312"/>
                <w:sz w:val="24"/>
              </w:rPr>
              <w:t>3）编制城镇开发边界局部调整优化方案；</w:t>
            </w:r>
          </w:p>
          <w:p>
            <w:pPr>
              <w:pStyle w:val="null3"/>
              <w:spacing w:before="180"/>
              <w:ind w:left="480" w:firstLine="464"/>
              <w:jc w:val="both"/>
            </w:pPr>
            <w:r>
              <w:rPr>
                <w:rFonts w:ascii="仿宋_GB2312" w:hAnsi="仿宋_GB2312" w:cs="仿宋_GB2312" w:eastAsia="仿宋_GB2312"/>
                <w:sz w:val="24"/>
              </w:rPr>
              <w:t>（</w:t>
            </w:r>
            <w:r>
              <w:rPr>
                <w:rFonts w:ascii="仿宋_GB2312" w:hAnsi="仿宋_GB2312" w:cs="仿宋_GB2312" w:eastAsia="仿宋_GB2312"/>
                <w:sz w:val="24"/>
              </w:rPr>
              <w:t>4）编制城镇开发边界相关图件</w:t>
            </w:r>
          </w:p>
          <w:p>
            <w:pPr>
              <w:pStyle w:val="null3"/>
              <w:spacing w:before="180"/>
              <w:ind w:left="480" w:firstLine="464"/>
              <w:jc w:val="both"/>
            </w:pPr>
            <w:r>
              <w:rPr>
                <w:rFonts w:ascii="仿宋_GB2312" w:hAnsi="仿宋_GB2312" w:cs="仿宋_GB2312" w:eastAsia="仿宋_GB2312"/>
                <w:sz w:val="24"/>
              </w:rPr>
              <w:t>（</w:t>
            </w:r>
            <w:r>
              <w:rPr>
                <w:rFonts w:ascii="仿宋_GB2312" w:hAnsi="仿宋_GB2312" w:cs="仿宋_GB2312" w:eastAsia="仿宋_GB2312"/>
                <w:sz w:val="24"/>
              </w:rPr>
              <w:t>5）建立城镇开发边界优化调整数据库；</w:t>
            </w:r>
          </w:p>
          <w:p>
            <w:pPr>
              <w:pStyle w:val="null3"/>
              <w:spacing w:before="180"/>
              <w:ind w:left="480" w:firstLine="464"/>
              <w:jc w:val="both"/>
            </w:pPr>
            <w:r>
              <w:rPr>
                <w:rFonts w:ascii="仿宋_GB2312" w:hAnsi="仿宋_GB2312" w:cs="仿宋_GB2312" w:eastAsia="仿宋_GB2312"/>
                <w:sz w:val="24"/>
              </w:rPr>
              <w:t>（</w:t>
            </w:r>
            <w:r>
              <w:rPr>
                <w:rFonts w:ascii="仿宋_GB2312" w:hAnsi="仿宋_GB2312" w:cs="仿宋_GB2312" w:eastAsia="仿宋_GB2312"/>
                <w:sz w:val="24"/>
              </w:rPr>
              <w:t>6）完成方案评审并取得专家组意见；</w:t>
            </w:r>
          </w:p>
          <w:p>
            <w:pPr>
              <w:pStyle w:val="null3"/>
              <w:spacing w:before="180"/>
              <w:ind w:left="480" w:firstLine="464"/>
              <w:jc w:val="both"/>
            </w:pPr>
            <w:r>
              <w:rPr>
                <w:rFonts w:ascii="仿宋_GB2312" w:hAnsi="仿宋_GB2312" w:cs="仿宋_GB2312" w:eastAsia="仿宋_GB2312"/>
                <w:sz w:val="24"/>
              </w:rPr>
              <w:t>（</w:t>
            </w:r>
            <w:r>
              <w:rPr>
                <w:rFonts w:ascii="仿宋_GB2312" w:hAnsi="仿宋_GB2312" w:cs="仿宋_GB2312" w:eastAsia="仿宋_GB2312"/>
                <w:sz w:val="24"/>
              </w:rPr>
              <w:t>7）上报市级进行审查及评审；</w:t>
            </w:r>
          </w:p>
          <w:p>
            <w:pPr>
              <w:pStyle w:val="null3"/>
              <w:spacing w:before="180"/>
              <w:ind w:left="480" w:firstLine="464"/>
              <w:jc w:val="both"/>
            </w:pPr>
            <w:r>
              <w:rPr>
                <w:rFonts w:ascii="仿宋_GB2312" w:hAnsi="仿宋_GB2312" w:cs="仿宋_GB2312" w:eastAsia="仿宋_GB2312"/>
                <w:sz w:val="24"/>
              </w:rPr>
              <w:t>（</w:t>
            </w:r>
            <w:r>
              <w:rPr>
                <w:rFonts w:ascii="仿宋_GB2312" w:hAnsi="仿宋_GB2312" w:cs="仿宋_GB2312" w:eastAsia="仿宋_GB2312"/>
                <w:sz w:val="24"/>
              </w:rPr>
              <w:t>8）通过国土空间规划“一张图”实施监督信息系统质检；</w:t>
            </w:r>
          </w:p>
          <w:p>
            <w:pPr>
              <w:pStyle w:val="null3"/>
              <w:spacing w:before="180"/>
              <w:ind w:left="480" w:firstLine="464"/>
              <w:jc w:val="both"/>
            </w:pPr>
            <w:r>
              <w:rPr>
                <w:rFonts w:ascii="仿宋_GB2312" w:hAnsi="仿宋_GB2312" w:cs="仿宋_GB2312" w:eastAsia="仿宋_GB2312"/>
                <w:sz w:val="24"/>
              </w:rPr>
              <w:t>（</w:t>
            </w:r>
            <w:r>
              <w:rPr>
                <w:rFonts w:ascii="仿宋_GB2312" w:hAnsi="仿宋_GB2312" w:cs="仿宋_GB2312" w:eastAsia="仿宋_GB2312"/>
                <w:sz w:val="24"/>
              </w:rPr>
              <w:t>9）上报省厅审查；</w:t>
            </w:r>
          </w:p>
          <w:p>
            <w:pPr>
              <w:pStyle w:val="null3"/>
              <w:spacing w:before="180"/>
              <w:ind w:left="480" w:firstLine="464"/>
              <w:jc w:val="both"/>
            </w:pPr>
            <w:r>
              <w:rPr>
                <w:rFonts w:ascii="仿宋_GB2312" w:hAnsi="仿宋_GB2312" w:cs="仿宋_GB2312" w:eastAsia="仿宋_GB2312"/>
                <w:sz w:val="24"/>
              </w:rPr>
              <w:t>（</w:t>
            </w:r>
            <w:r>
              <w:rPr>
                <w:rFonts w:ascii="仿宋_GB2312" w:hAnsi="仿宋_GB2312" w:cs="仿宋_GB2312" w:eastAsia="仿宋_GB2312"/>
                <w:sz w:val="24"/>
              </w:rPr>
              <w:t>10）自然资源部进行备案，并形成最终成果下发地方</w:t>
            </w:r>
          </w:p>
          <w:p>
            <w:pPr>
              <w:pStyle w:val="null3"/>
              <w:spacing w:before="180"/>
              <w:ind w:left="480" w:firstLine="464"/>
              <w:jc w:val="both"/>
            </w:pPr>
            <w:r>
              <w:rPr>
                <w:rFonts w:ascii="仿宋_GB2312" w:hAnsi="仿宋_GB2312" w:cs="仿宋_GB2312" w:eastAsia="仿宋_GB2312"/>
                <w:sz w:val="24"/>
              </w:rPr>
              <w:t>（</w:t>
            </w:r>
            <w:r>
              <w:rPr>
                <w:rFonts w:ascii="仿宋_GB2312" w:hAnsi="仿宋_GB2312" w:cs="仿宋_GB2312" w:eastAsia="仿宋_GB2312"/>
                <w:sz w:val="24"/>
              </w:rPr>
              <w:t>11）配合县局给涉及优化调整项目的建设方开政策宣讲会</w:t>
            </w:r>
          </w:p>
          <w:p>
            <w:pPr>
              <w:pStyle w:val="null3"/>
              <w:spacing w:before="180"/>
              <w:ind w:left="480" w:firstLine="464"/>
              <w:jc w:val="both"/>
            </w:pPr>
            <w:r>
              <w:rPr>
                <w:rFonts w:ascii="仿宋_GB2312" w:hAnsi="仿宋_GB2312" w:cs="仿宋_GB2312" w:eastAsia="仿宋_GB2312"/>
                <w:sz w:val="24"/>
              </w:rPr>
              <w:t>按照自然资源部《关于做好城镇开发边界管理的通知》（自然资发</w:t>
            </w:r>
            <w:r>
              <w:rPr>
                <w:rFonts w:ascii="仿宋_GB2312" w:hAnsi="仿宋_GB2312" w:cs="仿宋_GB2312" w:eastAsia="仿宋_GB2312"/>
                <w:sz w:val="24"/>
              </w:rPr>
              <w:t>[2023]193号）、省自然资源厅《关于加强城镇边界管理工作的通知（试行）（陕自然资发[2024]2号）的相关规定进行报送、审查、论证等。</w:t>
            </w:r>
          </w:p>
          <w:p>
            <w:pPr>
              <w:pStyle w:val="null3"/>
              <w:spacing w:before="180"/>
              <w:ind w:left="480" w:firstLine="466"/>
              <w:jc w:val="both"/>
            </w:pPr>
            <w:r>
              <w:rPr>
                <w:rFonts w:ascii="仿宋_GB2312" w:hAnsi="仿宋_GB2312" w:cs="仿宋_GB2312" w:eastAsia="仿宋_GB2312"/>
                <w:sz w:val="24"/>
                <w:b/>
              </w:rPr>
              <w:t>三</w:t>
            </w:r>
            <w:r>
              <w:rPr>
                <w:rFonts w:ascii="仿宋_GB2312" w:hAnsi="仿宋_GB2312" w:cs="仿宋_GB2312" w:eastAsia="仿宋_GB2312"/>
                <w:sz w:val="24"/>
                <w:b/>
              </w:rPr>
              <w:t>、质量要求</w:t>
            </w:r>
          </w:p>
          <w:p>
            <w:pPr>
              <w:pStyle w:val="null3"/>
              <w:spacing w:before="180"/>
              <w:ind w:right="120" w:firstLine="720"/>
              <w:jc w:val="both"/>
            </w:pPr>
            <w:r>
              <w:rPr>
                <w:rFonts w:ascii="仿宋_GB2312" w:hAnsi="仿宋_GB2312" w:cs="仿宋_GB2312" w:eastAsia="仿宋_GB2312"/>
                <w:sz w:val="24"/>
              </w:rPr>
              <w:t>符合国家的相关标准、行业标准或者其他标准、规范</w:t>
            </w:r>
            <w:r>
              <w:rPr>
                <w:rFonts w:ascii="仿宋_GB2312" w:hAnsi="仿宋_GB2312" w:cs="仿宋_GB2312" w:eastAsia="仿宋_GB2312"/>
                <w:sz w:val="24"/>
              </w:rPr>
              <w:t>，成果并经陕西省自然资源厅</w:t>
            </w:r>
            <w:r>
              <w:rPr>
                <w:rFonts w:ascii="仿宋_GB2312" w:hAnsi="仿宋_GB2312" w:cs="仿宋_GB2312" w:eastAsia="仿宋_GB2312"/>
                <w:sz w:val="24"/>
              </w:rPr>
              <w:t>核查确认通过。</w:t>
            </w:r>
          </w:p>
          <w:p>
            <w:pPr>
              <w:pStyle w:val="null3"/>
              <w:spacing w:before="180"/>
              <w:ind w:left="480" w:firstLine="478"/>
              <w:jc w:val="both"/>
            </w:pPr>
            <w:r>
              <w:rPr>
                <w:rFonts w:ascii="仿宋_GB2312" w:hAnsi="仿宋_GB2312" w:cs="仿宋_GB2312" w:eastAsia="仿宋_GB2312"/>
                <w:sz w:val="24"/>
                <w:b/>
              </w:rPr>
              <w:t>四</w:t>
            </w:r>
            <w:r>
              <w:rPr>
                <w:rFonts w:ascii="仿宋_GB2312" w:hAnsi="仿宋_GB2312" w:cs="仿宋_GB2312" w:eastAsia="仿宋_GB2312"/>
                <w:sz w:val="24"/>
                <w:b/>
              </w:rPr>
              <w:t>、商务要求</w:t>
            </w:r>
          </w:p>
          <w:p>
            <w:pPr>
              <w:pStyle w:val="null3"/>
              <w:spacing w:before="180"/>
              <w:ind w:left="480" w:firstLine="476"/>
              <w:jc w:val="both"/>
            </w:pPr>
            <w:r>
              <w:rPr>
                <w:rFonts w:ascii="仿宋_GB2312" w:hAnsi="仿宋_GB2312" w:cs="仿宋_GB2312" w:eastAsia="仿宋_GB2312"/>
                <w:sz w:val="24"/>
              </w:rPr>
              <w:t xml:space="preserve">1、项目服务期限： 自合同签订之日起 </w:t>
            </w:r>
            <w:r>
              <w:rPr>
                <w:rFonts w:ascii="仿宋_GB2312" w:hAnsi="仿宋_GB2312" w:cs="仿宋_GB2312" w:eastAsia="仿宋_GB2312"/>
                <w:sz w:val="24"/>
              </w:rPr>
              <w:t>60</w:t>
            </w:r>
            <w:r>
              <w:rPr>
                <w:rFonts w:ascii="仿宋_GB2312" w:hAnsi="仿宋_GB2312" w:cs="仿宋_GB2312" w:eastAsia="仿宋_GB2312"/>
                <w:sz w:val="24"/>
              </w:rPr>
              <w:t>天</w:t>
            </w:r>
          </w:p>
          <w:p>
            <w:pPr>
              <w:pStyle w:val="null3"/>
              <w:spacing w:before="180"/>
              <w:ind w:left="480" w:firstLine="476"/>
              <w:jc w:val="both"/>
            </w:pPr>
            <w:r>
              <w:rPr>
                <w:rFonts w:ascii="仿宋_GB2312" w:hAnsi="仿宋_GB2312" w:cs="仿宋_GB2312" w:eastAsia="仿宋_GB2312"/>
                <w:sz w:val="24"/>
              </w:rPr>
              <w:t>2、项目实施地点：</w:t>
            </w:r>
            <w:r>
              <w:rPr>
                <w:rFonts w:ascii="仿宋_GB2312" w:hAnsi="仿宋_GB2312" w:cs="仿宋_GB2312" w:eastAsia="仿宋_GB2312"/>
                <w:sz w:val="24"/>
              </w:rPr>
              <w:t>甲方指定地点</w:t>
            </w:r>
            <w:r>
              <w:rPr>
                <w:rFonts w:ascii="仿宋_GB2312" w:hAnsi="仿宋_GB2312" w:cs="仿宋_GB2312" w:eastAsia="仿宋_GB2312"/>
                <w:sz w:val="24"/>
              </w:rPr>
              <w:t>。</w:t>
            </w:r>
          </w:p>
          <w:p>
            <w:pPr>
              <w:pStyle w:val="null3"/>
              <w:spacing w:before="180"/>
              <w:ind w:left="480" w:firstLine="476"/>
              <w:jc w:val="both"/>
            </w:pPr>
            <w:r>
              <w:rPr>
                <w:rFonts w:ascii="仿宋_GB2312" w:hAnsi="仿宋_GB2312" w:cs="仿宋_GB2312" w:eastAsia="仿宋_GB2312"/>
                <w:sz w:val="24"/>
              </w:rPr>
              <w:t>3</w:t>
            </w:r>
            <w:r>
              <w:rPr>
                <w:rFonts w:ascii="仿宋_GB2312" w:hAnsi="仿宋_GB2312" w:cs="仿宋_GB2312" w:eastAsia="仿宋_GB2312"/>
                <w:sz w:val="24"/>
              </w:rPr>
              <w:t>、付款条件：见须知前附表。</w:t>
            </w:r>
          </w:p>
          <w:p>
            <w:pPr>
              <w:pStyle w:val="null3"/>
              <w:spacing w:before="180"/>
              <w:ind w:left="480" w:firstLine="476"/>
              <w:jc w:val="both"/>
            </w:pPr>
            <w:r>
              <w:rPr>
                <w:rFonts w:ascii="仿宋_GB2312" w:hAnsi="仿宋_GB2312" w:cs="仿宋_GB2312" w:eastAsia="仿宋_GB2312"/>
                <w:sz w:val="24"/>
              </w:rPr>
              <w:t>4、成果要求：负责组织足够的技术力量保证工作进度和成果质量，保证各项成果符合国家地方现行法规及成果的完整。</w:t>
            </w:r>
          </w:p>
          <w:p>
            <w:pPr>
              <w:pStyle w:val="null3"/>
              <w:spacing w:before="180"/>
              <w:ind w:left="480" w:firstLine="476"/>
              <w:jc w:val="both"/>
            </w:pPr>
            <w:r>
              <w:rPr>
                <w:rFonts w:ascii="仿宋_GB2312" w:hAnsi="仿宋_GB2312" w:cs="仿宋_GB2312" w:eastAsia="仿宋_GB2312"/>
                <w:sz w:val="24"/>
              </w:rPr>
              <w:t>4</w:t>
            </w:r>
            <w:r>
              <w:rPr>
                <w:rFonts w:ascii="仿宋_GB2312" w:hAnsi="仿宋_GB2312" w:cs="仿宋_GB2312" w:eastAsia="仿宋_GB2312"/>
                <w:sz w:val="24"/>
              </w:rPr>
              <w:t>、验收标准</w:t>
            </w:r>
            <w:r>
              <w:rPr>
                <w:rFonts w:ascii="仿宋_GB2312" w:hAnsi="仿宋_GB2312" w:cs="仿宋_GB2312" w:eastAsia="仿宋_GB2312"/>
                <w:sz w:val="24"/>
              </w:rPr>
              <w:t>:符合国家、省市相关法律、法规、标准、规范；验收依据:按采购文件、响应文件及澄清函、项目检查情况等综合指标进行验收。各项指标均应符合验收标准及要求。</w:t>
            </w:r>
          </w:p>
          <w:p>
            <w:pPr>
              <w:pStyle w:val="null3"/>
              <w:spacing w:before="180"/>
              <w:ind w:left="480" w:firstLine="478"/>
              <w:jc w:val="both"/>
            </w:pPr>
            <w:r>
              <w:rPr>
                <w:rFonts w:ascii="仿宋_GB2312" w:hAnsi="仿宋_GB2312" w:cs="仿宋_GB2312" w:eastAsia="仿宋_GB2312"/>
                <w:sz w:val="24"/>
                <w:b/>
              </w:rPr>
              <w:t>五、</w:t>
            </w:r>
            <w:r>
              <w:rPr>
                <w:rFonts w:ascii="仿宋_GB2312" w:hAnsi="仿宋_GB2312" w:cs="仿宋_GB2312" w:eastAsia="仿宋_GB2312"/>
                <w:sz w:val="24"/>
                <w:b/>
              </w:rPr>
              <w:t>其他要求</w:t>
            </w:r>
          </w:p>
          <w:p>
            <w:pPr>
              <w:pStyle w:val="null3"/>
              <w:spacing w:before="180"/>
              <w:ind w:left="480" w:firstLine="476"/>
              <w:jc w:val="both"/>
            </w:pPr>
            <w:r>
              <w:rPr>
                <w:rFonts w:ascii="仿宋_GB2312" w:hAnsi="仿宋_GB2312" w:cs="仿宋_GB2312" w:eastAsia="仿宋_GB2312"/>
                <w:sz w:val="24"/>
              </w:rPr>
              <w:t>1、成交人负责及时按采购人要求做出对项目成果的后期修改和对相关问题的解释。</w:t>
            </w:r>
          </w:p>
          <w:p>
            <w:pPr>
              <w:pStyle w:val="null3"/>
              <w:spacing w:before="180"/>
              <w:ind w:left="480" w:firstLine="476"/>
              <w:jc w:val="both"/>
            </w:pPr>
            <w:r>
              <w:rPr>
                <w:rFonts w:ascii="仿宋_GB2312" w:hAnsi="仿宋_GB2312" w:cs="仿宋_GB2312" w:eastAsia="仿宋_GB2312"/>
                <w:sz w:val="24"/>
              </w:rPr>
              <w:t>2、为使项目按质、按量、按时、有序实施，本项目必须有一个完善且固定的项目实施小组及项目总负责人。</w:t>
            </w:r>
          </w:p>
          <w:p>
            <w:pPr>
              <w:pStyle w:val="null3"/>
              <w:spacing w:before="180"/>
              <w:ind w:left="480" w:firstLine="476"/>
              <w:jc w:val="both"/>
            </w:pPr>
            <w:r>
              <w:rPr>
                <w:rFonts w:ascii="仿宋_GB2312" w:hAnsi="仿宋_GB2312" w:cs="仿宋_GB2312" w:eastAsia="仿宋_GB2312"/>
                <w:sz w:val="24"/>
              </w:rPr>
              <w:t>3、成交人在本项目实施过程中必须建立严格的保密措施，未经采购人许可，不得将工作过程中采购人提供的资料向外传播。</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配备足够的专业人员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配备足够的专业设备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合同签订之日起60天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符合国家、省市相关法律、法规、标准、规范；验收依据:按磋商文件、响应文件及澄清函、项目检查情况等综合指标进行验收。各项指标均应符合验收标准及要求。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第一期在成果提交至主管部门验收后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第二期在成果经验收、审批及提交所有成果资料后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详见响应文件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须提供2023年至今任意一年经审计的财务报告，审计报告应当经过注册会计师行业统一监管平台备案赋码（成立时间至提交投标文件截止时间不足一年的可提供成立后任意时段的资产负债表），或其基本存款账户开户银行出具的资信证明及基本存款账户开户许可证；</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服务内容及服务邀请应答表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法定代表人直接参加磋商时须提交法定代表人身份证明书；法定代表人授权代表参加磋商的，须出具授权书、被授权人身份证及委托人在近 3 个月内任意一个月缴纳的养老保险证明资料；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供应商须具备行政主管部门颁发且有效的土地规划乙级及以上资质或测绘乙级及以上资质；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供应商拟派项目负责人须具备土地规划或测绘专业中级或以上职称。</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健全的财务会计制度</w:t>
            </w:r>
          </w:p>
        </w:tc>
        <w:tc>
          <w:tcPr>
            <w:tcW w:type="dxa" w:w="3322"/>
          </w:tcPr>
          <w:p>
            <w:pPr>
              <w:pStyle w:val="null3"/>
            </w:pPr>
            <w:r>
              <w:rPr>
                <w:rFonts w:ascii="仿宋_GB2312" w:hAnsi="仿宋_GB2312" w:cs="仿宋_GB2312" w:eastAsia="仿宋_GB2312"/>
              </w:rPr>
              <w:t>须提供2023年至今任意一年经审计的财务报告，审计报告应当经过注册会计师行业统一监管平台备案赋码（成立时间至提交投标文件截止时间不足一年的可提供成立后任意时段的资产负债表），或其基本存款账户开户银行出具的资信证明及基本存款账户开户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依法缴纳税收证明</w:t>
            </w:r>
          </w:p>
        </w:tc>
        <w:tc>
          <w:tcPr>
            <w:tcW w:type="dxa" w:w="3322"/>
          </w:tcPr>
          <w:p>
            <w:pPr>
              <w:pStyle w:val="null3"/>
            </w:pPr>
            <w:r>
              <w:rPr>
                <w:rFonts w:ascii="仿宋_GB2312" w:hAnsi="仿宋_GB2312" w:cs="仿宋_GB2312" w:eastAsia="仿宋_GB2312"/>
              </w:rPr>
              <w:t>提供 2025年 1 月 1 日以来已缴纳的至少三个月的纳税证明或完税证明，纳税证明或完税证明上应有代收机构或税务机关的公章。依法免税的供应商应提供相关文件证明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社会保障资金证明</w:t>
            </w:r>
          </w:p>
        </w:tc>
        <w:tc>
          <w:tcPr>
            <w:tcW w:type="dxa" w:w="3322"/>
          </w:tcPr>
          <w:p>
            <w:pPr>
              <w:pStyle w:val="null3"/>
            </w:pPr>
            <w:r>
              <w:rPr>
                <w:rFonts w:ascii="仿宋_GB2312" w:hAnsi="仿宋_GB2312" w:cs="仿宋_GB2312" w:eastAsia="仿宋_GB2312"/>
              </w:rPr>
              <w:t>提供 2025 年1月 1 日以来已缴存的至少三个月的社会保障资金缴存单据或社保机构开具的社会保险参保缴费情况证明。依法不需要缴纳社会保障资金的供应商应提供相关文件证明；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网站截图</w:t>
            </w:r>
          </w:p>
        </w:tc>
        <w:tc>
          <w:tcPr>
            <w:tcW w:type="dxa" w:w="3322"/>
          </w:tcPr>
          <w:p>
            <w:pPr>
              <w:pStyle w:val="null3"/>
            </w:pPr>
            <w:r>
              <w:rPr>
                <w:rFonts w:ascii="仿宋_GB2312" w:hAnsi="仿宋_GB2312" w:cs="仿宋_GB2312" w:eastAsia="仿宋_GB2312"/>
              </w:rPr>
              <w:t>供应商未被列入“信用中国”网站(www.creditchina.gov.cn)“记录列入失信被执行人和重大税收违法失信主体截图；不处于中国政府采购网(www.ccgp. gov.cn)“政府采购严重违法失信行为信息记录 ”中的禁止参加政府采购活动期间截图</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提供具有履行本合同所必需的设备和专业技术能力的说明（提供书面承诺）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单位负责人为同一人或者存在直接控股、管理关系的不同投标投标单位，不得参加同一合同项下的政府采购活动（提供书面承诺书）</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磋商响应文件上法定代表人或其委托代理人的签字按规定要求齐全，并加盖单位公章</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类似业绩一览表.docx 资格证明文件.docx 响应文件封面 分项报价表.docx 残疾人福利性单位声明函 服务方案 标的清单 其他资料.docx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只能有一个有效报价，不得提交选择性报价，且报价不超过采购预算金额和最高限价。</w:t>
            </w:r>
          </w:p>
        </w:tc>
        <w:tc>
          <w:tcPr>
            <w:tcW w:type="dxa" w:w="1661"/>
          </w:tcPr>
          <w:p>
            <w:pPr>
              <w:pStyle w:val="null3"/>
            </w:pPr>
            <w:r>
              <w:rPr>
                <w:rFonts w:ascii="仿宋_GB2312" w:hAnsi="仿宋_GB2312" w:cs="仿宋_GB2312" w:eastAsia="仿宋_GB2312"/>
              </w:rPr>
              <w:t>响应文件封面 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投标文件内容齐全、完整、无遗漏</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类似业绩一览表.docx 资格证明文件.docx 响应文件封面 分项报价表.docx 残疾人福利性单位声明函 服务方案 标的清单 其他资料.docx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满足磋商文件提出的技术和商务要求</w:t>
            </w:r>
          </w:p>
        </w:tc>
        <w:tc>
          <w:tcPr>
            <w:tcW w:type="dxa" w:w="1661"/>
          </w:tcPr>
          <w:p>
            <w:pPr>
              <w:pStyle w:val="null3"/>
            </w:pPr>
            <w:r>
              <w:rPr>
                <w:rFonts w:ascii="仿宋_GB2312" w:hAnsi="仿宋_GB2312" w:cs="仿宋_GB2312" w:eastAsia="仿宋_GB2312"/>
              </w:rPr>
              <w:t>响应文件封面 服务内容及服务邀请应答表 商务应答表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满足磋商文件的规定</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满足磋商文件要求达到国家现行验收规范的合格要求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满足磋商文件的规定</w:t>
            </w:r>
          </w:p>
        </w:tc>
        <w:tc>
          <w:tcPr>
            <w:tcW w:type="dxa" w:w="1661"/>
          </w:tcPr>
          <w:p>
            <w:pPr>
              <w:pStyle w:val="null3"/>
            </w:pPr>
            <w:r>
              <w:rPr>
                <w:rFonts w:ascii="仿宋_GB2312" w:hAnsi="仿宋_GB2312" w:cs="仿宋_GB2312" w:eastAsia="仿宋_GB2312"/>
              </w:rPr>
              <w:t>商务应答表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充分理解项目背景和内容，根据项目实际情况，供应商递交一套完整的总体服务方案，方案总体思路清晰内容全面，适合项目需求，对本项目的地理环境现状把握精准，对供应商的总体服务方案的完整性、详细程度、合理性及可行性进行评审，方案完整、思路清晰、详细程度高，可行性强得 15(含)-20 分；方案较完整、思路较清晰、详细程度较高，可行性较强得10(含 )-15 分；方案不完整、思路模糊、不详细，可行性低得 0(含) -10 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工作进度计 划及保障措 施</w:t>
            </w:r>
          </w:p>
        </w:tc>
        <w:tc>
          <w:tcPr>
            <w:tcW w:type="dxa" w:w="2492"/>
          </w:tcPr>
          <w:p>
            <w:pPr>
              <w:pStyle w:val="null3"/>
            </w:pPr>
            <w:r>
              <w:rPr>
                <w:rFonts w:ascii="仿宋_GB2312" w:hAnsi="仿宋_GB2312" w:cs="仿宋_GB2312" w:eastAsia="仿宋_GB2312"/>
              </w:rPr>
              <w:t>各项工作进度计划安排合理、工作全面，工作量充分技术方法 、工作流程清晰可行，有可操作性和必要的保障措施，针对其服务流程的完整性、业务分工的清晰程度、工作实施的可行性及完成时间等进行评审，服务流程完整、业务分工清晰、工作实施可行性强得5(含)-8分；服务流程较完整、业务分工较清晰 、工作实施较可行得3(含)-5分；服务流程不完整、业务分工不清晰、工作实施可行性差得 0(含)-3分。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质量保证措施全面，细致，质量体系健全，工作程序清晰，安排科学，保证措施有力，根据其响应情况进行评审，质量保证措施全面，细致，质量体系健全工作程序清晰，安排科学，保证措施有力得5(含)-8分；质量保证措施较全面，质量体系较健全，工作程序较清晰得3(含)-5分；质量保证措施不全面质量体系不健全，工作程序不清晰得0(含)-3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重难点分析及解决方案</w:t>
            </w:r>
          </w:p>
        </w:tc>
        <w:tc>
          <w:tcPr>
            <w:tcW w:type="dxa" w:w="2492"/>
          </w:tcPr>
          <w:p>
            <w:pPr>
              <w:pStyle w:val="null3"/>
            </w:pPr>
            <w:r>
              <w:rPr>
                <w:rFonts w:ascii="仿宋_GB2312" w:hAnsi="仿宋_GB2312" w:cs="仿宋_GB2312" w:eastAsia="仿宋_GB2312"/>
              </w:rPr>
              <w:t>有针对本项目的重难点分析及解决方案和应急情况处理办法等 , 根据其响应情况综合赋 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成果提交</w:t>
            </w:r>
          </w:p>
        </w:tc>
        <w:tc>
          <w:tcPr>
            <w:tcW w:type="dxa" w:w="2492"/>
          </w:tcPr>
          <w:p>
            <w:pPr>
              <w:pStyle w:val="null3"/>
            </w:pPr>
            <w:r>
              <w:rPr>
                <w:rFonts w:ascii="仿宋_GB2312" w:hAnsi="仿宋_GB2312" w:cs="仿宋_GB2312" w:eastAsia="仿宋_GB2312"/>
              </w:rPr>
              <w:t>对本项目工作阶段中成果文件的内容、形式及提交计划有详细的说明，说明内容完善，形式条理清晰，计划有序。根据其响应情况综合赋 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投入的专业设备</w:t>
            </w:r>
          </w:p>
        </w:tc>
        <w:tc>
          <w:tcPr>
            <w:tcW w:type="dxa" w:w="2492"/>
          </w:tcPr>
          <w:p>
            <w:pPr>
              <w:pStyle w:val="null3"/>
            </w:pPr>
            <w:r>
              <w:rPr>
                <w:rFonts w:ascii="仿宋_GB2312" w:hAnsi="仿宋_GB2312" w:cs="仿宋_GB2312" w:eastAsia="仿宋_GB2312"/>
              </w:rPr>
              <w:t>供应商须为本项目配备足够的专业设备，确保工作迅速高效有保障，须提供相关证明材料，软硬件设备齐全，完全满足工作需要得4(含)-7分 ;软硬件设备较齐全，基本能满足工作需要得2(含)-4分;软硬件设备较少得 0(含)-2分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供应商针对本项目的服务承诺合理、可行，能及时响应采购人的服务要求，有针对本项目的有利于采购人的合理化建设性意见，服务承诺合理、可行，合理化建议强可行得 7(含)-10 分 ；服务承诺较合理、可行合理化建议较强可行得4(含)-7分；服务承诺不合理、可行，合理化建议不可行得0(含)-4分。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供应商须为本项目配备足够的人员，以满足项目需求根据拟派人员的数量、专业、类似经验等进行评审人员数量充足、专业性强、类似经验丰富得5(含)-8分；人员数量较充足、专业性较强、类似经验较丰富得 3(含)-5 分；人员数量不充足、专业性不强类似经验不丰富得 0(含)-3分。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供应商提供近三年(2022年至今)类似项目业绩，每提供一份得2.5 分，最多得 10 分。业绩证明以合同复印件为准，须加盖公章。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类似业绩一览表.docx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关于加强政府采购货物和服务项目价格评审管理的通知》（财库[2007]2号）的有关规定：价格分采用低价优先法计算，即满足磋商文件要求且磋商价格最低的投标报价为评审基准价，其价格分为满分。其他响应供应商的价格分统一按照下列公式计算： 磋商报价得分=（评标基准价/投标报价） ×价格权值（20%） × 100 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详见附件：类似业绩一览表.docx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