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版本号：JQ2025-ZFCG-039X20251121001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东华街道办垃圾清运项目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JQ2025-ZFCG-039X</w:t>
      </w:r>
      <w:r>
        <w:br/>
      </w:r>
      <w:r>
        <w:br/>
      </w:r>
      <w:r>
        <w:br/>
      </w:r>
    </w:p>
    <w:p>
      <w:pPr>
        <w:pStyle w:val="null3"/>
        <w:jc w:val="center"/>
        <w:outlineLvl w:val="2"/>
      </w:pPr>
      <w:r>
        <w:rPr>
          <w:rFonts w:ascii="仿宋_GB2312" w:hAnsi="仿宋_GB2312" w:cs="仿宋_GB2312" w:eastAsia="仿宋_GB2312"/>
          <w:sz w:val="28"/>
          <w:b/>
        </w:rPr>
        <w:t>富平县人民政府东华街道办事处（本级）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富平县人民政府东华街道办事处（本级）</w:t>
      </w:r>
      <w:r>
        <w:rPr>
          <w:rFonts w:ascii="仿宋_GB2312" w:hAnsi="仿宋_GB2312" w:cs="仿宋_GB2312" w:eastAsia="仿宋_GB2312"/>
        </w:rPr>
        <w:t>委托，拟对</w:t>
      </w:r>
      <w:r>
        <w:rPr>
          <w:rFonts w:ascii="仿宋_GB2312" w:hAnsi="仿宋_GB2312" w:cs="仿宋_GB2312" w:eastAsia="仿宋_GB2312"/>
        </w:rPr>
        <w:t>东华街道办垃圾清运项目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JQ2025-ZFCG-039X</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东华街道办垃圾清运项目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东华街道办皂⻆村村委会周边垃圾清运。因皂⻆村附近拆迁项⽬及施⼯单位较多，部分单位为节约成本将⼤量⽣活垃圾及建筑垃圾偷倒在村境内，对当地⼈居环境造成不良影响，群众反映强烈。为改善村容村貌、提升⼈居环境质量，我街道办拟对皂⻆村附近的垃圾进⾏清运处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采购包1（东华街道办垃圾清运项目）：属于专门面向中小企业采购。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p>
    <w:p>
      <w:pPr>
        <w:pStyle w:val="null3"/>
      </w:pPr>
      <w:r>
        <w:rPr>
          <w:rFonts w:ascii="仿宋_GB2312" w:hAnsi="仿宋_GB2312" w:cs="仿宋_GB2312" w:eastAsia="仿宋_GB2312"/>
        </w:rPr>
        <w:t>3、税收缴纳证明：须提供依法缴纳税收的良好记录（提供投标截止时间前六个月内任意一个月份的缴费凭据复印件并加盖单位公章或其他相关证明资料）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4、社会保障资金缴纳证明：须提供依法缴纳社会保障资金（养老保险）的良好记录（提供投标截止时间前六个月内任意一个月份的缴费凭据复印件并加盖单位公章或其他相关证明资料）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5、具有履行本合同所必需的设备和专业技术能力的声明：提供具有履行本合同所必需的设备和专业技术能力的声明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6、法定代表人授权委托书：法定代表人参加投标的，须提供法定代表人资格证明书；法定代表人授权他人参加投标的，须提供法定代表人授权委托书</w:t>
      </w:r>
    </w:p>
    <w:p>
      <w:pPr>
        <w:pStyle w:val="null3"/>
      </w:pPr>
      <w:r>
        <w:rPr>
          <w:rFonts w:ascii="仿宋_GB2312" w:hAnsi="仿宋_GB2312" w:cs="仿宋_GB2312" w:eastAsia="仿宋_GB2312"/>
        </w:rPr>
        <w:t>7、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8、保证金缴纳凭据提供银行转账凭证、基本存款账户信息资料复印件或金融机构、担保机构出具的保函复印件，复印件均须加盖公章：保证金缴纳凭据提供银行转账凭证、基本存款账户信息资料复印件或金融机构、担保机构出具的保函复印件，复印件均须加盖公章</w:t>
      </w:r>
    </w:p>
    <w:p>
      <w:pPr>
        <w:pStyle w:val="null3"/>
      </w:pPr>
      <w:r>
        <w:rPr>
          <w:rFonts w:ascii="仿宋_GB2312" w:hAnsi="仿宋_GB2312" w:cs="仿宋_GB2312" w:eastAsia="仿宋_GB2312"/>
        </w:rPr>
        <w:t>9、供应商提供参加政府采购活动前三年内在经营活动中没有重大违法记录的书面声明：供应商提供参加政府采购活动前三年内在经营活动中没有重大违法记录的书面声明</w:t>
      </w:r>
    </w:p>
    <w:p>
      <w:pPr>
        <w:pStyle w:val="null3"/>
      </w:pPr>
      <w:r>
        <w:rPr>
          <w:rFonts w:ascii="仿宋_GB2312" w:hAnsi="仿宋_GB2312" w:cs="仿宋_GB2312" w:eastAsia="仿宋_GB2312"/>
        </w:rPr>
        <w:t>10、供应商企业关系关联及联合体说明：本项目不接受联合体投标，单位负责人为同一人或者存在直接控股、管理关系的不同供应商，不得参加同一合同项下的政府采购活动的书面声明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富平县人民政府东华街道办事处（本级）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陕西省渭南市富平县富辰一路东北角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13572389556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收取，由成交单位支付。在领取中标通知书时向采购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富平县人民政府东华街道办事处（本级）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富平县人民政府东华街道办事处（本级）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富平县人民政府东华街道办事处（本级）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以磋商文件及合同约定为准。验收依据：合同文本，磋商文件，磋商响应文件，供应商满足国家或行业规范执行标准。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东华街道办皂角村村委会周边垃圾清运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东华街道办垃圾清运项目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标的名称：东华街道办垃圾清运项目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一、服务范围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东华街道办皂角村村委会周边建筑垃圾进行清理、清运工作</w:t>
            </w:r>
          </w:p>
          <w:p>
            <w:pPr>
              <w:pStyle w:val="null3"/>
              <w:jc w:val="both"/>
            </w:pPr>
            <w:r>
              <w:rPr>
                <w:rFonts w:ascii="仿宋_GB2312" w:hAnsi="仿宋_GB2312" w:cs="仿宋_GB2312" w:eastAsia="仿宋_GB2312"/>
                <w:sz w:val="24"/>
                <w:b/>
              </w:rPr>
              <w:t>二、服务周期：</w:t>
            </w:r>
            <w:r>
              <w:rPr>
                <w:rFonts w:ascii="仿宋_GB2312" w:hAnsi="仿宋_GB2312" w:cs="仿宋_GB2312" w:eastAsia="仿宋_GB2312"/>
                <w:sz w:val="24"/>
              </w:rPr>
              <w:t>15日历天</w:t>
            </w:r>
          </w:p>
          <w:p>
            <w:pPr>
              <w:pStyle w:val="null3"/>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color w:val="000000"/>
              </w:rPr>
              <w:t>3.1、供应商对堆放点的垃圾进行清理、清运工作。不留死角。拉运途中密闭运输，不抛洒、不扬尘、不中途乱倒。</w:t>
            </w:r>
          </w:p>
          <w:p>
            <w:pPr>
              <w:pStyle w:val="null3"/>
              <w:ind w:firstLine="480"/>
              <w:jc w:val="both"/>
            </w:pPr>
            <w:r>
              <w:rPr>
                <w:rFonts w:ascii="仿宋_GB2312" w:hAnsi="仿宋_GB2312" w:cs="仿宋_GB2312" w:eastAsia="仿宋_GB2312"/>
                <w:sz w:val="24"/>
              </w:rPr>
              <w:t>3.2、垃圾清运工作中，机械车辆要保持车辆容貌整洁，运输过程中遵守交通交管部门的有关规定。</w:t>
            </w:r>
          </w:p>
          <w:p>
            <w:pPr>
              <w:pStyle w:val="null3"/>
              <w:ind w:firstLine="480"/>
              <w:jc w:val="both"/>
            </w:pPr>
            <w:r>
              <w:rPr>
                <w:rFonts w:ascii="仿宋_GB2312" w:hAnsi="仿宋_GB2312" w:cs="仿宋_GB2312" w:eastAsia="仿宋_GB2312"/>
                <w:sz w:val="24"/>
              </w:rPr>
              <w:t>3.3、垃圾清运过程当中，工作人员应严格遵守各项规章制度，认真履行各岗位职责，规范操作机械，如因不安全作业造成的事故损失等，由供应商自行承担。</w:t>
            </w:r>
          </w:p>
          <w:p>
            <w:pPr>
              <w:pStyle w:val="null3"/>
              <w:ind w:firstLine="480"/>
              <w:jc w:val="both"/>
            </w:pPr>
            <w:r>
              <w:rPr>
                <w:rFonts w:ascii="仿宋_GB2312" w:hAnsi="仿宋_GB2312" w:cs="仿宋_GB2312" w:eastAsia="仿宋_GB2312"/>
                <w:sz w:val="24"/>
              </w:rPr>
              <w:t>3.4、场地复原清洁:垃圾清运完毕后，需对空地进行彻底清扫，清除残留垃圾、污渍及异味，确保地面无散落垃圾，恢复场地基本整洁状态。</w:t>
            </w:r>
          </w:p>
          <w:p>
            <w:pPr>
              <w:pStyle w:val="null3"/>
              <w:ind w:firstLine="480"/>
              <w:jc w:val="both"/>
            </w:pPr>
            <w:r>
              <w:rPr>
                <w:rFonts w:ascii="仿宋_GB2312" w:hAnsi="仿宋_GB2312" w:cs="仿宋_GB2312" w:eastAsia="仿宋_GB2312"/>
                <w:sz w:val="24"/>
              </w:rPr>
              <w:t>3.5、服务方需对员工进行安全教育，落实安全责任制，配备消防器材，杜绝作业及运输过程中的安全事故隐患。</w:t>
            </w:r>
          </w:p>
          <w:p>
            <w:pPr>
              <w:pStyle w:val="null3"/>
              <w:jc w:val="both"/>
            </w:pPr>
            <w:r>
              <w:rPr>
                <w:rFonts w:ascii="仿宋_GB2312" w:hAnsi="仿宋_GB2312" w:cs="仿宋_GB2312" w:eastAsia="仿宋_GB2312"/>
                <w:sz w:val="21"/>
                <w:b/>
              </w:rPr>
              <w:t>注</w:t>
            </w:r>
            <w:r>
              <w:rPr>
                <w:rFonts w:ascii="仿宋_GB2312" w:hAnsi="仿宋_GB2312" w:cs="仿宋_GB2312" w:eastAsia="仿宋_GB2312"/>
                <w:sz w:val="21"/>
                <w:b/>
              </w:rPr>
              <w:t>:本次垃圾清运服务所需的各项设备和工具，采购人均不提供。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东华街道办皂角村村委会周边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采购人组织验收评估，依据磋商文件、响应文件、成交通知书、合同文件及国家相关规范及标准进行验收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垃圾清运工作完成，甲方在收到乙方开具的发票后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清运垃圾量：预计需清运建筑垃圾约11000立方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提供2023年或2024年度的财务审计报告（至少包括资产负债表和利润表，成立时间至提交响应文件截止时间不足一年的可提供成立后任意时段的资产负债表），或其基本存款账户开户银行出具的近三个月的资信证明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须提供依法缴纳社会保障资金（养老保险）的良好记录（提供投标截止时间前六个月内任意一个月份的缴费凭据复印件并加盖单位公章或其他相关证明资料）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法定代表人参加投标的，须提供法定代表人资格证明书；法定代表人授权他人参加投标的，须提供法定代表人授权委托书</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332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供应商名称与公章、证明材料一致</w:t>
            </w:r>
          </w:p>
        </w:tc>
        <w:tc>
          <w:tcPr>
            <w:tcW w:type="dxa" w:w="1661"/>
          </w:tcPr>
          <w:p>
            <w:pPr>
              <w:pStyle w:val="null3"/>
            </w:pPr>
            <w:r>
              <w:rPr>
                <w:rFonts w:ascii="仿宋_GB2312" w:hAnsi="仿宋_GB2312" w:cs="仿宋_GB2312" w:eastAsia="仿宋_GB2312"/>
              </w:rPr>
              <w:t>类似项目一览表.docx 服务内容及服务邀请应答表 中小企业声明函 商务应答表 报价表 资格证明资料.docx 响应文件封面 政府采购供应商拒绝政府采购领域商业贿赂承诺书.docx 其他应说明的事项.docx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类似项目一览表.docx 服务内容及服务邀请应答表 中小企业声明函 商务应答表 报价表 资格证明资料.docx 响应文件封面 政府采购供应商拒绝政府采购领域商业贿赂承诺书.docx 其他应说明的事项.docx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磋商响应文件内容完整、符合要求、内容清晰可辨</w:t>
            </w:r>
          </w:p>
        </w:tc>
        <w:tc>
          <w:tcPr>
            <w:tcW w:type="dxa" w:w="1661"/>
          </w:tcPr>
          <w:p>
            <w:pPr>
              <w:pStyle w:val="null3"/>
            </w:pPr>
            <w:r>
              <w:rPr>
                <w:rFonts w:ascii="仿宋_GB2312" w:hAnsi="仿宋_GB2312" w:cs="仿宋_GB2312" w:eastAsia="仿宋_GB2312"/>
              </w:rPr>
              <w:t>类似项目一览表.docx 服务内容及服务邀请应答表 中小企业声明函 商务应答表 报价表 资格证明资料.docx 响应文件封面 政府采购供应商拒绝政府采购领域商业贿赂承诺书.docx 其他应说明的事项.docx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垃圾清运实施方案</w:t>
            </w:r>
          </w:p>
        </w:tc>
        <w:tc>
          <w:tcPr>
            <w:tcW w:type="dxa" w:w="2492"/>
          </w:tcPr>
          <w:p>
            <w:pPr>
              <w:pStyle w:val="null3"/>
            </w:pPr>
            <w:r>
              <w:rPr>
                <w:rFonts w:ascii="仿宋_GB2312" w:hAnsi="仿宋_GB2312" w:cs="仿宋_GB2312" w:eastAsia="仿宋_GB2312"/>
              </w:rPr>
              <w:t>对供应商的建筑垃圾清运实施方案是否结合本项目实际情况，提出具有针对性、具体明确、科学详细的可行性作业方案。建筑垃圾清运实施方案针对性强、具体明确、科学详细完整，得（14-20]分；建筑垃圾清运实施方案针对性一般、可行性较强，得（7-14]分；建筑垃圾清运实施方案针对性较差，可行性一般，得[1-7]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各项安全制度、措施、保障科学合理、内容齐全且切实可行的得（6-12]分； 各项安全制度、措施、保障较为科学合理、内容较为齐全且切实可行的得[1-6]分。未提供不得分。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环保措施</w:t>
            </w:r>
          </w:p>
        </w:tc>
        <w:tc>
          <w:tcPr>
            <w:tcW w:type="dxa" w:w="2492"/>
          </w:tcPr>
          <w:p>
            <w:pPr>
              <w:pStyle w:val="null3"/>
            </w:pPr>
            <w:r>
              <w:rPr>
                <w:rFonts w:ascii="仿宋_GB2312" w:hAnsi="仿宋_GB2312" w:cs="仿宋_GB2312" w:eastAsia="仿宋_GB2312"/>
              </w:rPr>
              <w:t>环保防范措施详细、规范、合理的突出治污减霾，符合相关部门规定的得（7-10]分； 环保防范措施比较详细、规范、合理，符合相关部门规定的得（4-7]分； 环保防范措施一般，符合相关部门规定的得[1-4]分。未提供不得分。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服务质量保证措施规范、完善、可行，具备为本项目提供优质高效服务的得（4-8]分； 服务质量保证措施较规范、完善、可行性较强，能够有效保证本项目优质完成的得[1-4]分。未提供不得分。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突发事件应急保障措施</w:t>
            </w:r>
          </w:p>
        </w:tc>
        <w:tc>
          <w:tcPr>
            <w:tcW w:type="dxa" w:w="2492"/>
          </w:tcPr>
          <w:p>
            <w:pPr>
              <w:pStyle w:val="null3"/>
            </w:pPr>
            <w:r>
              <w:rPr>
                <w:rFonts w:ascii="仿宋_GB2312" w:hAnsi="仿宋_GB2312" w:cs="仿宋_GB2312" w:eastAsia="仿宋_GB2312"/>
              </w:rPr>
              <w:t>根据供应商针对突发事件应急保障措施的可行性（包含恶劣天气影响、自然灾害制定应急处置方案等）。方案针对性强、具体明确、科学详细完整，得（7-10]分；方案针对性一般、可行性较强，得（4-7]分；方案针对性较差，可行性一般，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人员分工合理、责任明确，人员管理制度完善详细并具有可行性。人员配备合理、分工明确计（7-10]分； 人员配备基本合理、分工较明确计（4-7]分；基本符合项目安排需求，内容一般的计[1-4]分。未提供的不得分。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拟投入的主要机具、设备、车辆配置情况，清运车辆严格执行建筑垃圾清运相关规定。配备设施、车辆齐全，完全满足项目需求，可行性、科学性、合理性强，得（6-9]分；配备设施基本满足项目需求，可行性、合理性较强，得（3-6]分；配备设施情况一般，可行性、合理性一般，得[1-3]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2020年11月至磋商截止时间类似项目业绩，以供应商提供的合同或中标（成交）通知书复印件（或扫描件）为准（日期以合同签订时间或中标（成交）通知书时间为准），每提供一份得2.0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价格分统一采用低价优先法计算，即满足磋商文件要求且价格最低的磋商报价为评审基准价，其价格分为满分。其他供应商的价格分统一按照下列公式计算： 磋商报价得分=(磋商基准价／磋商报价)×价格权值×100（注：计算分数时四舍五入取小数点后两位）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详见附件：类似项目一览表.docx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详见附件：建筑垃圾清运委托服务项目合同模板.docx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