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版本号：QCZB-2025--04220251127001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富平县农业投入品监管系统建设项目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QCZB-2025--042</w:t>
      </w:r>
      <w:r>
        <w:br/>
      </w:r>
      <w:r>
        <w:br/>
      </w:r>
      <w:r>
        <w:br/>
      </w:r>
    </w:p>
    <w:p>
      <w:pPr>
        <w:pStyle w:val="null3"/>
        <w:jc w:val="center"/>
        <w:outlineLvl w:val="2"/>
      </w:pPr>
      <w:r>
        <w:rPr>
          <w:rFonts w:ascii="仿宋_GB2312" w:hAnsi="仿宋_GB2312" w:cs="仿宋_GB2312" w:eastAsia="仿宋_GB2312"/>
          <w:sz w:val="28"/>
          <w:b/>
        </w:rPr>
        <w:t>富平县农业综合执法大队</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富平县农业综合执法大队</w:t>
      </w:r>
      <w:r>
        <w:rPr>
          <w:rFonts w:ascii="仿宋_GB2312" w:hAnsi="仿宋_GB2312" w:cs="仿宋_GB2312" w:eastAsia="仿宋_GB2312"/>
        </w:rPr>
        <w:t>委托，拟对</w:t>
      </w:r>
      <w:r>
        <w:rPr>
          <w:rFonts w:ascii="仿宋_GB2312" w:hAnsi="仿宋_GB2312" w:cs="仿宋_GB2312" w:eastAsia="仿宋_GB2312"/>
        </w:rPr>
        <w:t>富平县农业投入品监管系统建设项目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QCZB-2025--042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富平县农业投入品监管系统建设项目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基于现有陕西省农业投入品监管系统，在我县农资经营门店开展农业投入品动态监管预警与信息服务工作整县推进试点工作。 围绕农药、兽药、种子、肥料等生产资料经营销售监管需求，选择基础条件好、经营稳定、已接入互联网、经营人员具备基本电脑操作技能且有安装意愿的农资门店，配置相关设备，对接省农业农村大数据中心，开展农业投入品监管预警应用，实现农业投入品与农产品质量安全的双向追溯，提高我县农业数字化监管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能力的法人、其他组织或自然人，并出具合法有效的统一社会信用代码的营业执照或事业单位法人证书等合法经营凭证的相关证明，自然人参与的提供其身份证明；</w:t>
      </w:r>
    </w:p>
    <w:p>
      <w:pPr>
        <w:pStyle w:val="null3"/>
      </w:pPr>
      <w:r>
        <w:rPr>
          <w:rFonts w:ascii="仿宋_GB2312" w:hAnsi="仿宋_GB2312" w:cs="仿宋_GB2312" w:eastAsia="仿宋_GB2312"/>
        </w:rPr>
        <w:t>2、供应商授权合法的人员参加投标全过程：供应商应授权合法的人员参加投标全过程，其中法定代表人直接参加投标的，须出具法定代表人身份证明书，并与营业执照上信息一致。法定代表人授权代表参加投标的，须出具法定代表人授权书及授权代表身份证（被授权人须提供开标截止时间之前近1个月社保缴纳证明）；</w:t>
      </w:r>
    </w:p>
    <w:p>
      <w:pPr>
        <w:pStyle w:val="null3"/>
      </w:pPr>
      <w:r>
        <w:rPr>
          <w:rFonts w:ascii="仿宋_GB2312" w:hAnsi="仿宋_GB2312" w:cs="仿宋_GB2312" w:eastAsia="仿宋_GB2312"/>
        </w:rPr>
        <w:t>3、企业信誉：供应商在“中国执行信息公开网”网站（zxgk.court.gov.cn）中未列入失信被执行人，在“信用中国”网站（www.creditchina.gov.cn）中未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4、其他：①税收缴纳证明：提供供应商自开标前一年内至少一个月已缴纳的增值税或营业税或企业所得税的凭据或税务机关开具的完税证明；依法免税的应提供相关文件证明; ②社会保障资金缴纳证明：提供供应商自开标前一年内已缴纳的至少一个月的社会保障资金缴存单据或社保机构开具的社会保险参保缴费情况证明，依法不需要缴纳社会保障资金的单位应提供相关证明材料；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富平县农业综合执法大队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富平县华朱小学西侧240米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富平县农业综合执法大队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0913-8632297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 857号以及发改价格【2011】534号文中规定的标准执行计取。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富平县农业综合执法大队</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富平县农业综合执法大队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富平县农业综合执法大队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联系人：卢鹏</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基于现有陕西省农业投入品监管系统，在我县农资经营门店开展农业投入品动态监管预警与信息服务工作整县推进试点工作。 围绕农药、兽药、种子、肥料等生产资料经营销售监管需求，选择基础条件好、经营稳定、已接入互联网、经营人员具备基本电脑操作技能且有安装意愿的农资门店，配置相关设备，对接省农业农村大数据中心，开展农业投入品监管预警应用，实现农业投入品与农产品质量安全的双向追溯，提高我县农业数字化监管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1,195,000.00</w:t>
      </w:r>
    </w:p>
    <w:p>
      <w:pPr>
        <w:pStyle w:val="null3"/>
      </w:pPr>
      <w:r>
        <w:rPr>
          <w:rFonts w:ascii="仿宋_GB2312" w:hAnsi="仿宋_GB2312" w:cs="仿宋_GB2312" w:eastAsia="仿宋_GB2312"/>
        </w:rPr>
        <w:t>采购包最高限价（元）: 1,195,000.00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富平县农业投入品监管系统建设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标的名称：富平县农业投入品监管系统建设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7"/>
                <w:b/>
                <w:color w:val="000000"/>
              </w:rPr>
              <w:t>1.项目概况</w:t>
            </w:r>
          </w:p>
          <w:p>
            <w:pPr>
              <w:pStyle w:val="null3"/>
              <w:ind w:firstLine="540"/>
              <w:jc w:val="both"/>
            </w:pPr>
            <w:r>
              <w:rPr>
                <w:rFonts w:ascii="仿宋_GB2312" w:hAnsi="仿宋_GB2312" w:cs="仿宋_GB2312" w:eastAsia="仿宋_GB2312"/>
                <w:sz w:val="24"/>
                <w:color w:val="000000"/>
              </w:rPr>
              <w:t>基于现有陕西省农业投入品监管系统，在我县农资经营门店开展农业投入品动态监管预警与信息服务工作整县推进试点工作。</w:t>
            </w:r>
            <w:r>
              <w:rPr>
                <w:rFonts w:ascii="仿宋_GB2312" w:hAnsi="仿宋_GB2312" w:cs="仿宋_GB2312" w:eastAsia="仿宋_GB2312"/>
                <w:sz w:val="24"/>
                <w:color w:val="000000"/>
              </w:rPr>
              <w:t xml:space="preserve"> 围绕农药、兽药、种子、肥料等生产资料经营销售监管需求，选择基础条件好、经营稳定、已接入互联网、经营人员具备基本电脑操作技能且有安装意愿的农资门店，配置相关设备，对接省农业农村大数据中心，开展农业投入品监管预警应用，实现农业投入品与农产品质量安全的双向追溯，提高我县农业数字化监管水平。</w:t>
            </w:r>
          </w:p>
          <w:p>
            <w:pPr>
              <w:pStyle w:val="null3"/>
              <w:ind w:firstLine="482"/>
              <w:jc w:val="left"/>
            </w:pPr>
            <w:r>
              <w:rPr>
                <w:rFonts w:ascii="仿宋_GB2312" w:hAnsi="仿宋_GB2312" w:cs="仿宋_GB2312" w:eastAsia="仿宋_GB2312"/>
                <w:sz w:val="27"/>
                <w:b/>
                <w:color w:val="000000"/>
              </w:rPr>
              <w:t>2.采购内容</w:t>
            </w:r>
          </w:p>
          <w:p>
            <w:pPr>
              <w:pStyle w:val="null3"/>
              <w:ind w:firstLine="480"/>
              <w:jc w:val="left"/>
            </w:pPr>
            <w:r>
              <w:rPr>
                <w:rFonts w:ascii="仿宋_GB2312" w:hAnsi="仿宋_GB2312" w:cs="仿宋_GB2312" w:eastAsia="仿宋_GB2312"/>
                <w:sz w:val="24"/>
                <w:color w:val="000000"/>
              </w:rPr>
              <w:t>2.1智能终端集成服务：</w:t>
            </w:r>
            <w:r>
              <w:rPr>
                <w:rFonts w:ascii="仿宋_GB2312" w:hAnsi="仿宋_GB2312" w:cs="仿宋_GB2312" w:eastAsia="仿宋_GB2312"/>
                <w:sz w:val="24"/>
                <w:color w:val="000000"/>
              </w:rPr>
              <w:t>集成农资门店智能终端</w:t>
            </w:r>
            <w:r>
              <w:rPr>
                <w:rFonts w:ascii="仿宋_GB2312" w:hAnsi="仿宋_GB2312" w:cs="仿宋_GB2312" w:eastAsia="仿宋_GB2312"/>
                <w:sz w:val="24"/>
                <w:color w:val="000000"/>
              </w:rPr>
              <w:t>281</w:t>
            </w:r>
            <w:r>
              <w:rPr>
                <w:rFonts w:ascii="仿宋_GB2312" w:hAnsi="仿宋_GB2312" w:cs="仿宋_GB2312" w:eastAsia="仿宋_GB2312"/>
                <w:sz w:val="24"/>
                <w:color w:val="000000"/>
              </w:rPr>
              <w:t>套。</w:t>
            </w:r>
          </w:p>
          <w:p>
            <w:pPr>
              <w:pStyle w:val="null3"/>
              <w:ind w:firstLine="560"/>
              <w:jc w:val="both"/>
            </w:pPr>
            <w:r>
              <w:rPr>
                <w:rFonts w:ascii="仿宋_GB2312" w:hAnsi="仿宋_GB2312" w:cs="仿宋_GB2312" w:eastAsia="仿宋_GB2312"/>
                <w:sz w:val="24"/>
                <w:color w:val="000000"/>
              </w:rPr>
              <w:t>2.2数据归集与网络调试：</w:t>
            </w:r>
            <w:r>
              <w:rPr>
                <w:rFonts w:ascii="仿宋_GB2312" w:hAnsi="仿宋_GB2312" w:cs="仿宋_GB2312" w:eastAsia="仿宋_GB2312"/>
                <w:sz w:val="24"/>
              </w:rPr>
              <w:t>开展智能终端的安装部署与网络调试，</w:t>
            </w:r>
            <w:r>
              <w:rPr>
                <w:rFonts w:ascii="仿宋_GB2312" w:hAnsi="仿宋_GB2312" w:cs="仿宋_GB2312" w:eastAsia="仿宋_GB2312"/>
                <w:sz w:val="24"/>
              </w:rPr>
              <w:t>保障农业投入品</w:t>
            </w:r>
            <w:r>
              <w:rPr>
                <w:rFonts w:ascii="仿宋_GB2312" w:hAnsi="仿宋_GB2312" w:cs="仿宋_GB2312" w:eastAsia="仿宋_GB2312"/>
                <w:sz w:val="24"/>
              </w:rPr>
              <w:t>监管</w:t>
            </w:r>
            <w:r>
              <w:rPr>
                <w:rFonts w:ascii="仿宋_GB2312" w:hAnsi="仿宋_GB2312" w:cs="仿宋_GB2312" w:eastAsia="仿宋_GB2312"/>
                <w:sz w:val="24"/>
              </w:rPr>
              <w:t>系统的落地应用</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color w:val="000000"/>
              </w:rPr>
              <w:t>2.3数据对接：</w:t>
            </w:r>
            <w:r>
              <w:rPr>
                <w:rFonts w:ascii="仿宋_GB2312" w:hAnsi="仿宋_GB2312" w:cs="仿宋_GB2312" w:eastAsia="仿宋_GB2312"/>
                <w:sz w:val="24"/>
                <w:color w:val="000000"/>
              </w:rPr>
              <w:t>根据门店实际情况，配置基础数据，</w:t>
            </w:r>
            <w:r>
              <w:rPr>
                <w:rFonts w:ascii="仿宋_GB2312" w:hAnsi="仿宋_GB2312" w:cs="仿宋_GB2312" w:eastAsia="仿宋_GB2312"/>
                <w:sz w:val="24"/>
              </w:rPr>
              <w:t>保障</w:t>
            </w:r>
            <w:r>
              <w:rPr>
                <w:rFonts w:ascii="仿宋_GB2312" w:hAnsi="仿宋_GB2312" w:cs="仿宋_GB2312" w:eastAsia="仿宋_GB2312"/>
                <w:sz w:val="24"/>
              </w:rPr>
              <w:t>各实施门店</w:t>
            </w:r>
            <w:r>
              <w:rPr>
                <w:rFonts w:ascii="仿宋_GB2312" w:hAnsi="仿宋_GB2312" w:cs="仿宋_GB2312" w:eastAsia="仿宋_GB2312"/>
                <w:sz w:val="24"/>
              </w:rPr>
              <w:t>设备采集数据与陕西省农业农村大数据中心互联互通。</w:t>
            </w:r>
          </w:p>
          <w:p>
            <w:pPr>
              <w:pStyle w:val="null3"/>
              <w:ind w:firstLine="560"/>
              <w:jc w:val="both"/>
            </w:pPr>
            <w:r>
              <w:rPr>
                <w:rFonts w:ascii="仿宋_GB2312" w:hAnsi="仿宋_GB2312" w:cs="仿宋_GB2312" w:eastAsia="仿宋_GB2312"/>
                <w:sz w:val="24"/>
                <w:color w:val="000000"/>
              </w:rPr>
              <w:t>2.4项目培训：</w:t>
            </w:r>
            <w:r>
              <w:rPr>
                <w:rFonts w:ascii="仿宋_GB2312" w:hAnsi="仿宋_GB2312" w:cs="仿宋_GB2312" w:eastAsia="仿宋_GB2312"/>
                <w:sz w:val="24"/>
              </w:rPr>
              <w:t>按照集中培训和上门培训的方式，对门店进行培训服务。</w:t>
            </w:r>
          </w:p>
          <w:p>
            <w:pPr>
              <w:pStyle w:val="null3"/>
              <w:ind w:firstLine="482"/>
              <w:jc w:val="left"/>
            </w:pPr>
            <w:r>
              <w:rPr>
                <w:rFonts w:ascii="仿宋_GB2312" w:hAnsi="仿宋_GB2312" w:cs="仿宋_GB2312" w:eastAsia="仿宋_GB2312"/>
                <w:sz w:val="27"/>
                <w:b/>
                <w:color w:val="000000"/>
              </w:rPr>
              <w:t>3.技术要求</w:t>
            </w:r>
          </w:p>
          <w:p>
            <w:pPr>
              <w:pStyle w:val="null3"/>
              <w:ind w:firstLine="480"/>
              <w:jc w:val="left"/>
            </w:pPr>
            <w:r>
              <w:rPr>
                <w:rFonts w:ascii="仿宋_GB2312" w:hAnsi="仿宋_GB2312" w:cs="仿宋_GB2312" w:eastAsia="仿宋_GB2312"/>
                <w:sz w:val="24"/>
                <w:color w:val="000000"/>
              </w:rPr>
              <w:t>3.1建设要求：</w:t>
            </w:r>
          </w:p>
          <w:p>
            <w:pPr>
              <w:pStyle w:val="null3"/>
              <w:ind w:firstLine="540"/>
              <w:jc w:val="both"/>
            </w:pPr>
            <w:r>
              <w:rPr>
                <w:rFonts w:ascii="仿宋_GB2312" w:hAnsi="仿宋_GB2312" w:cs="仿宋_GB2312" w:eastAsia="仿宋_GB2312"/>
                <w:sz w:val="24"/>
                <w:color w:val="000000"/>
              </w:rPr>
              <w:t>基于现有陕西省农业投入品监管系统，对接陕西省农业农村大数据中心，围绕种子、农药、化肥、兽药、饲料经营销售监管需求，通过智能终端门店部署+数据报送省级平台方式，开展富平县农业投入品监管预警应用，实现农业投入品与农产品质量安全的双向追溯，提高农业数字化监管水平。</w:t>
            </w:r>
          </w:p>
          <w:p>
            <w:pPr>
              <w:pStyle w:val="null3"/>
              <w:ind w:firstLine="480"/>
              <w:jc w:val="left"/>
            </w:pPr>
            <w:r>
              <w:rPr>
                <w:rFonts w:ascii="仿宋_GB2312" w:hAnsi="仿宋_GB2312" w:cs="仿宋_GB2312" w:eastAsia="仿宋_GB2312"/>
                <w:sz w:val="24"/>
                <w:color w:val="000000"/>
              </w:rPr>
              <w:t>3.2智能终端系统：</w:t>
            </w:r>
          </w:p>
          <w:p>
            <w:pPr>
              <w:pStyle w:val="null3"/>
              <w:ind w:firstLine="480"/>
              <w:jc w:val="left"/>
            </w:pPr>
            <w:r>
              <w:rPr>
                <w:rFonts w:ascii="仿宋_GB2312" w:hAnsi="仿宋_GB2312" w:cs="仿宋_GB2312" w:eastAsia="仿宋_GB2312"/>
                <w:sz w:val="24"/>
                <w:color w:val="000000"/>
              </w:rPr>
              <w:t>智能终端设备应具备农资扫码出入库、农资销售实时登记、农资实时备案、农户实名制匹配建档、农药处方在线开具等功能。</w:t>
            </w:r>
          </w:p>
          <w:p>
            <w:pPr>
              <w:pStyle w:val="null3"/>
              <w:ind w:firstLine="480"/>
              <w:jc w:val="left"/>
            </w:pPr>
            <w:r>
              <w:rPr>
                <w:rFonts w:ascii="仿宋_GB2312" w:hAnsi="仿宋_GB2312" w:cs="仿宋_GB2312" w:eastAsia="仿宋_GB2312"/>
                <w:sz w:val="24"/>
                <w:color w:val="000000"/>
              </w:rPr>
              <w:t>设备管理系统应具备各类报表汇总、查看功能，包括且不限于库存信息、出入库信息、建档人员信息、订单总量、销售额、农资登记总量等。</w:t>
            </w:r>
          </w:p>
          <w:p>
            <w:pPr>
              <w:pStyle w:val="null3"/>
              <w:ind w:firstLine="480"/>
              <w:jc w:val="left"/>
            </w:pPr>
            <w:r>
              <w:rPr>
                <w:rFonts w:ascii="仿宋_GB2312" w:hAnsi="仿宋_GB2312" w:cs="仿宋_GB2312" w:eastAsia="仿宋_GB2312"/>
                <w:sz w:val="24"/>
                <w:color w:val="000000"/>
              </w:rPr>
              <w:t>设备应具备与省级平台互联互通能力，能实现农户人像档案库自动在线识别分析、农资入库与登记备案库实时在线比对等功能。</w:t>
            </w:r>
          </w:p>
          <w:p>
            <w:pPr>
              <w:pStyle w:val="null3"/>
              <w:ind w:firstLine="480"/>
              <w:jc w:val="left"/>
            </w:pPr>
            <w:r>
              <w:rPr>
                <w:rFonts w:ascii="仿宋_GB2312" w:hAnsi="仿宋_GB2312" w:cs="仿宋_GB2312" w:eastAsia="仿宋_GB2312"/>
                <w:sz w:val="27"/>
                <w:color w:val="000000"/>
              </w:rPr>
              <w:t>3.</w:t>
            </w:r>
            <w:r>
              <w:rPr>
                <w:rFonts w:ascii="仿宋_GB2312" w:hAnsi="仿宋_GB2312" w:cs="仿宋_GB2312" w:eastAsia="仿宋_GB2312"/>
                <w:sz w:val="27"/>
                <w:color w:val="000000"/>
              </w:rPr>
              <w:t>3</w:t>
            </w:r>
            <w:r>
              <w:rPr>
                <w:rFonts w:ascii="仿宋_GB2312" w:hAnsi="仿宋_GB2312" w:cs="仿宋_GB2312" w:eastAsia="仿宋_GB2312"/>
                <w:sz w:val="27"/>
                <w:color w:val="000000"/>
              </w:rPr>
              <w:t>智能终端系统数据要求：</w:t>
            </w:r>
          </w:p>
          <w:p>
            <w:pPr>
              <w:pStyle w:val="null3"/>
              <w:ind w:firstLine="480"/>
              <w:jc w:val="left"/>
            </w:pPr>
            <w:r>
              <w:rPr>
                <w:rFonts w:ascii="仿宋_GB2312" w:hAnsi="仿宋_GB2312" w:cs="仿宋_GB2312" w:eastAsia="仿宋_GB2312"/>
                <w:sz w:val="24"/>
                <w:color w:val="000000"/>
              </w:rPr>
              <w:t>农资门店的智能终端系统应满足以规定频率、时间、地址向</w:t>
            </w:r>
            <w:r>
              <w:rPr>
                <w:rFonts w:ascii="仿宋_GB2312" w:hAnsi="仿宋_GB2312" w:cs="仿宋_GB2312" w:eastAsia="仿宋_GB2312"/>
                <w:sz w:val="24"/>
                <w:color w:val="000000"/>
              </w:rPr>
              <w:t>省级</w:t>
            </w:r>
            <w:r>
              <w:rPr>
                <w:rFonts w:ascii="仿宋_GB2312" w:hAnsi="仿宋_GB2312" w:cs="仿宋_GB2312" w:eastAsia="仿宋_GB2312"/>
                <w:sz w:val="24"/>
                <w:color w:val="000000"/>
              </w:rPr>
              <w:t>农业投入品监管系统报送规定数据，系统应确保数据报送的完整性，准确性和及时性。</w:t>
            </w:r>
          </w:p>
          <w:p>
            <w:pPr>
              <w:pStyle w:val="null3"/>
              <w:ind w:firstLine="480"/>
              <w:jc w:val="left"/>
            </w:pPr>
            <w:r>
              <w:rPr>
                <w:rFonts w:ascii="仿宋_GB2312" w:hAnsi="仿宋_GB2312" w:cs="仿宋_GB2312" w:eastAsia="仿宋_GB2312"/>
                <w:sz w:val="24"/>
                <w:color w:val="000000"/>
              </w:rPr>
              <w:t>智能终端系统</w:t>
            </w:r>
            <w:r>
              <w:rPr>
                <w:rFonts w:ascii="仿宋_GB2312" w:hAnsi="仿宋_GB2312" w:cs="仿宋_GB2312" w:eastAsia="仿宋_GB2312"/>
                <w:sz w:val="24"/>
                <w:color w:val="000000"/>
              </w:rPr>
              <w:t>基础</w:t>
            </w:r>
            <w:r>
              <w:rPr>
                <w:rFonts w:ascii="仿宋_GB2312" w:hAnsi="仿宋_GB2312" w:cs="仿宋_GB2312" w:eastAsia="仿宋_GB2312"/>
                <w:sz w:val="24"/>
                <w:color w:val="000000"/>
              </w:rPr>
              <w:t>数据</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要求</w:t>
            </w:r>
          </w:p>
          <w:tbl>
            <w:tblPr>
              <w:tblInd w:type="dxa" w:w="300"/>
              <w:tblBorders>
                <w:top w:val="none" w:color="000000" w:sz="4"/>
                <w:left w:val="none" w:color="000000" w:sz="4"/>
                <w:bottom w:val="none" w:color="000000" w:sz="4"/>
                <w:right w:val="none" w:color="000000" w:sz="4"/>
                <w:insideH w:val="none"/>
                <w:insideV w:val="none"/>
              </w:tblBorders>
            </w:tblPr>
            <w:tblGrid>
              <w:gridCol w:w="162"/>
              <w:gridCol w:w="411"/>
              <w:gridCol w:w="474"/>
              <w:gridCol w:w="2132"/>
            </w:tblGrid>
            <w:tr>
              <w:tc>
                <w:tcPr>
                  <w:tcW w:type="dxa" w:w="1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数据类别</w:t>
                  </w:r>
                </w:p>
              </w:tc>
              <w:tc>
                <w:tcPr>
                  <w:tcW w:type="dxa" w:w="260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主要内容</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基础信息</w:t>
                  </w:r>
                </w:p>
              </w:tc>
              <w:tc>
                <w:tcPr>
                  <w:tcW w:type="dxa" w:w="260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店铺名称，经营种类</w:t>
                  </w:r>
                  <w:r>
                    <w:rPr>
                      <w:rFonts w:ascii="仿宋_GB2312" w:hAnsi="仿宋_GB2312" w:cs="仿宋_GB2312" w:eastAsia="仿宋_GB2312"/>
                      <w:sz w:val="24"/>
                      <w:color w:val="000000"/>
                    </w:rPr>
                    <w:t>(种子、农药、化肥、农资),门店负责人，门店电话，门店坐标，设备名称，设备类型，设备品牌</w:t>
                  </w:r>
                </w:p>
              </w:tc>
            </w:tr>
            <w:tr>
              <w:tc>
                <w:tcPr>
                  <w:tcW w:type="dxa" w:w="16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出入库信息</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种子、化肥、饲料</w:t>
                  </w:r>
                </w:p>
              </w:tc>
              <w:tc>
                <w:tcPr>
                  <w:tcW w:type="dxa" w:w="2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作物名称，品种名称，登记证号，申请者，育种者</w:t>
                  </w:r>
                  <w:r>
                    <w:rPr>
                      <w:rFonts w:ascii="仿宋_GB2312" w:hAnsi="仿宋_GB2312" w:cs="仿宋_GB2312" w:eastAsia="仿宋_GB2312"/>
                      <w:sz w:val="24"/>
                      <w:color w:val="000000"/>
                    </w:rPr>
                    <w:t>(审定单位),品种来源，库存数量，入库时间，有效期，出库时间</w:t>
                  </w:r>
                </w:p>
              </w:tc>
            </w:tr>
            <w:tr>
              <w:tc>
                <w:tcPr>
                  <w:tcW w:type="dxa" w:w="162"/>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农、兽药</w:t>
                  </w:r>
                </w:p>
              </w:tc>
              <w:tc>
                <w:tcPr>
                  <w:tcW w:type="dxa" w:w="2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药品</w:t>
                  </w:r>
                  <w:r>
                    <w:rPr>
                      <w:rFonts w:ascii="仿宋_GB2312" w:hAnsi="仿宋_GB2312" w:cs="仿宋_GB2312" w:eastAsia="仿宋_GB2312"/>
                      <w:sz w:val="24"/>
                      <w:color w:val="000000"/>
                    </w:rPr>
                    <w:t>(商品)名称，品牌名称，通用名称(有效成分名称),登记证号，公司名称，首次批准日期，有效期，药品类型，是否进口，规格，作物/防治对象，安全间隔期，库存数量，入库时间，出库时间</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用户档案信息</w:t>
                  </w:r>
                </w:p>
              </w:tc>
              <w:tc>
                <w:tcPr>
                  <w:tcW w:type="dxa" w:w="260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农户名称，身份证，手机号码，地址，创建时间，购买记录</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销售信息</w:t>
                  </w:r>
                </w:p>
              </w:tc>
              <w:tc>
                <w:tcPr>
                  <w:tcW w:type="dxa" w:w="260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订单号，商品编号，商品数量，商品单价，销售总价，购买人姓名，购买人电话，订单时间，处方记录，规格</w:t>
                  </w:r>
                </w:p>
              </w:tc>
            </w:tr>
          </w:tbl>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r>
              <w:rPr>
                <w:rFonts w:ascii="仿宋_GB2312" w:hAnsi="仿宋_GB2312" w:cs="仿宋_GB2312" w:eastAsia="仿宋_GB2312"/>
                <w:sz w:val="24"/>
                <w:color w:val="000000"/>
              </w:rPr>
              <w:t>智能终端设备</w:t>
            </w:r>
          </w:p>
          <w:tbl>
            <w:tblPr>
              <w:tblInd w:type="dxa" w:w="210"/>
              <w:tblBorders>
                <w:top w:val="none" w:color="000000" w:sz="4"/>
                <w:left w:val="none" w:color="000000" w:sz="4"/>
                <w:bottom w:val="none" w:color="000000" w:sz="4"/>
                <w:right w:val="none" w:color="000000" w:sz="4"/>
                <w:insideH w:val="none"/>
                <w:insideV w:val="none"/>
              </w:tblBorders>
            </w:tblPr>
            <w:tblGrid>
              <w:gridCol w:w="164"/>
              <w:gridCol w:w="501"/>
              <w:gridCol w:w="2011"/>
              <w:gridCol w:w="266"/>
              <w:gridCol w:w="235"/>
            </w:tblGrid>
            <w:tr>
              <w:tc>
                <w:tcPr>
                  <w:tcW w:type="dxa" w:w="1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5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产品名称</w:t>
                  </w:r>
                </w:p>
              </w:tc>
              <w:tc>
                <w:tcPr>
                  <w:tcW w:type="dxa" w:w="20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技术参数</w:t>
                  </w:r>
                </w:p>
              </w:tc>
              <w:tc>
                <w:tcPr>
                  <w:tcW w:type="dxa" w:w="2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计量</w:t>
                  </w:r>
                </w:p>
                <w:p>
                  <w:pPr>
                    <w:pStyle w:val="null3"/>
                    <w:jc w:val="center"/>
                  </w:pPr>
                  <w:r>
                    <w:rPr>
                      <w:rFonts w:ascii="仿宋_GB2312" w:hAnsi="仿宋_GB2312" w:cs="仿宋_GB2312" w:eastAsia="仿宋_GB2312"/>
                      <w:sz w:val="24"/>
                      <w:color w:val="000000"/>
                    </w:rPr>
                    <w:t>单位</w:t>
                  </w:r>
                </w:p>
              </w:tc>
              <w:tc>
                <w:tcPr>
                  <w:tcW w:type="dxa" w:w="2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销售一体机设备</w:t>
                  </w:r>
                </w:p>
              </w:tc>
              <w:tc>
                <w:tcPr>
                  <w:tcW w:type="dxa" w:w="2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1.主屏≥ 12"HD,客显≥10"HD；</w:t>
                  </w:r>
                </w:p>
                <w:p>
                  <w:pPr>
                    <w:pStyle w:val="null3"/>
                  </w:pPr>
                  <w:r>
                    <w:rPr>
                      <w:rFonts w:ascii="仿宋_GB2312" w:hAnsi="仿宋_GB2312" w:cs="仿宋_GB2312" w:eastAsia="仿宋_GB2312"/>
                      <w:sz w:val="24"/>
                      <w:color w:val="000000"/>
                    </w:rPr>
                    <w:t>2.处理器4 核 2.0GHz或以上；</w:t>
                  </w:r>
                </w:p>
                <w:p>
                  <w:pPr>
                    <w:pStyle w:val="null3"/>
                  </w:pPr>
                  <w:r>
                    <w:rPr>
                      <w:rFonts w:ascii="仿宋_GB2312" w:hAnsi="仿宋_GB2312" w:cs="仿宋_GB2312" w:eastAsia="仿宋_GB2312"/>
                      <w:sz w:val="24"/>
                      <w:color w:val="000000"/>
                    </w:rPr>
                    <w:t>3.存储器≥ 2GBRAM+16GBROM；</w:t>
                  </w:r>
                </w:p>
                <w:p>
                  <w:pPr>
                    <w:pStyle w:val="null3"/>
                  </w:pPr>
                  <w:r>
                    <w:rPr>
                      <w:rFonts w:ascii="仿宋_GB2312" w:hAnsi="仿宋_GB2312" w:cs="仿宋_GB2312" w:eastAsia="仿宋_GB2312"/>
                      <w:sz w:val="24"/>
                      <w:color w:val="000000"/>
                    </w:rPr>
                    <w:t>4.触摸屏支持电容多点触摸；</w:t>
                  </w:r>
                </w:p>
                <w:p>
                  <w:pPr>
                    <w:pStyle w:val="null3"/>
                  </w:pPr>
                  <w:r>
                    <w:rPr>
                      <w:rFonts w:ascii="仿宋_GB2312" w:hAnsi="仿宋_GB2312" w:cs="仿宋_GB2312" w:eastAsia="仿宋_GB2312"/>
                      <w:sz w:val="24"/>
                      <w:color w:val="000000"/>
                    </w:rPr>
                    <w:t>5. 支持Wi-Fi；</w:t>
                  </w:r>
                </w:p>
                <w:p>
                  <w:pPr>
                    <w:pStyle w:val="null3"/>
                  </w:pPr>
                  <w:r>
                    <w:rPr>
                      <w:rFonts w:ascii="仿宋_GB2312" w:hAnsi="仿宋_GB2312" w:cs="仿宋_GB2312" w:eastAsia="仿宋_GB2312"/>
                      <w:sz w:val="24"/>
                      <w:color w:val="000000"/>
                    </w:rPr>
                    <w:t>6.具备蓝牙功能；</w:t>
                  </w:r>
                </w:p>
                <w:p>
                  <w:pPr>
                    <w:pStyle w:val="null3"/>
                  </w:pPr>
                  <w:r>
                    <w:rPr>
                      <w:rFonts w:ascii="仿宋_GB2312" w:hAnsi="仿宋_GB2312" w:cs="仿宋_GB2312" w:eastAsia="仿宋_GB2312"/>
                      <w:sz w:val="24"/>
                      <w:color w:val="000000"/>
                    </w:rPr>
                    <w:t>7.外部 USB 接口</w:t>
                  </w:r>
                  <w:r>
                    <w:rPr>
                      <w:rFonts w:ascii="仿宋_GB2312" w:hAnsi="仿宋_GB2312" w:cs="仿宋_GB2312" w:eastAsia="仿宋_GB2312"/>
                      <w:sz w:val="24"/>
                      <w:b/>
                      <w:color w:val="000000"/>
                    </w:rPr>
                    <w:t>不低于</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 个，具有 RJ45LAN 口；</w:t>
                  </w:r>
                </w:p>
                <w:p>
                  <w:pPr>
                    <w:pStyle w:val="null3"/>
                  </w:pPr>
                  <w:r>
                    <w:rPr>
                      <w:rFonts w:ascii="仿宋_GB2312" w:hAnsi="仿宋_GB2312" w:cs="仿宋_GB2312" w:eastAsia="仿宋_GB2312"/>
                      <w:sz w:val="24"/>
                      <w:color w:val="000000"/>
                    </w:rPr>
                    <w:t>8.操作系统Android7或以上。</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281</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产品扫码设备</w:t>
                  </w:r>
                </w:p>
              </w:tc>
              <w:tc>
                <w:tcPr>
                  <w:tcW w:type="dxa" w:w="2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1.设备像素</w:t>
                  </w:r>
                  <w:r>
                    <w:rPr>
                      <w:rFonts w:ascii="仿宋_GB2312" w:hAnsi="仿宋_GB2312" w:cs="仿宋_GB2312" w:eastAsia="仿宋_GB2312"/>
                      <w:sz w:val="24"/>
                    </w:rPr>
                    <w:t xml:space="preserve"> </w:t>
                  </w:r>
                  <w:r>
                    <w:rPr>
                      <w:rFonts w:ascii="仿宋_GB2312" w:hAnsi="仿宋_GB2312" w:cs="仿宋_GB2312" w:eastAsia="仿宋_GB2312"/>
                      <w:sz w:val="24"/>
                      <w:color w:val="000000"/>
                    </w:rPr>
                    <w:t>≥640*480；</w:t>
                  </w:r>
                </w:p>
                <w:p>
                  <w:pPr>
                    <w:pStyle w:val="null3"/>
                  </w:pPr>
                  <w:r>
                    <w:rPr>
                      <w:rFonts w:ascii="仿宋_GB2312" w:hAnsi="仿宋_GB2312" w:cs="仿宋_GB2312" w:eastAsia="仿宋_GB2312"/>
                      <w:sz w:val="24"/>
                      <w:color w:val="000000"/>
                    </w:rPr>
                    <w:t>2.支持照明、对焦；</w:t>
                  </w:r>
                </w:p>
                <w:p>
                  <w:pPr>
                    <w:pStyle w:val="null3"/>
                  </w:pPr>
                  <w:r>
                    <w:rPr>
                      <w:rFonts w:ascii="仿宋_GB2312" w:hAnsi="仿宋_GB2312" w:cs="仿宋_GB2312" w:eastAsia="仿宋_GB2312"/>
                      <w:sz w:val="24"/>
                      <w:color w:val="000000"/>
                    </w:rPr>
                    <w:t>3.识读码制支持条形码和二维码；</w:t>
                  </w:r>
                </w:p>
                <w:p>
                  <w:pPr>
                    <w:pStyle w:val="null3"/>
                  </w:pPr>
                  <w:r>
                    <w:rPr>
                      <w:rFonts w:ascii="仿宋_GB2312" w:hAnsi="仿宋_GB2312" w:cs="仿宋_GB2312" w:eastAsia="仿宋_GB2312"/>
                      <w:sz w:val="24"/>
                      <w:color w:val="000000"/>
                    </w:rPr>
                    <w:t>4.通讯接口支持 USB；</w:t>
                  </w:r>
                </w:p>
                <w:p>
                  <w:pPr>
                    <w:pStyle w:val="null3"/>
                  </w:pPr>
                  <w:r>
                    <w:rPr>
                      <w:rFonts w:ascii="仿宋_GB2312" w:hAnsi="仿宋_GB2312" w:cs="仿宋_GB2312" w:eastAsia="仿宋_GB2312"/>
                      <w:sz w:val="24"/>
                      <w:color w:val="000000"/>
                    </w:rPr>
                    <w:t>5.支持 Android 操作系统。</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281</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身份数据读取设备</w:t>
                  </w:r>
                </w:p>
              </w:tc>
              <w:tc>
                <w:tcPr>
                  <w:tcW w:type="dxa" w:w="2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1.具备身份证读取功能；</w:t>
                  </w:r>
                </w:p>
                <w:p>
                  <w:pPr>
                    <w:pStyle w:val="null3"/>
                  </w:pPr>
                  <w:r>
                    <w:rPr>
                      <w:rFonts w:ascii="仿宋_GB2312" w:hAnsi="仿宋_GB2312" w:cs="仿宋_GB2312" w:eastAsia="仿宋_GB2312"/>
                      <w:sz w:val="24"/>
                      <w:color w:val="000000"/>
                    </w:rPr>
                    <w:t>2.具备农户在线建档及本地图像库采集比对功能，通过终端实现农户基础档案在线建档，并完成本地图像库及省级图像库的比对。</w:t>
                  </w:r>
                </w:p>
                <w:p>
                  <w:pPr>
                    <w:pStyle w:val="null3"/>
                  </w:pPr>
                  <w:r>
                    <w:rPr>
                      <w:rFonts w:ascii="仿宋_GB2312" w:hAnsi="仿宋_GB2312" w:cs="仿宋_GB2312" w:eastAsia="仿宋_GB2312"/>
                      <w:sz w:val="24"/>
                      <w:color w:val="000000"/>
                    </w:rPr>
                    <w:t>3.设备阅读距离≥ 3cm；</w:t>
                  </w:r>
                </w:p>
                <w:p>
                  <w:pPr>
                    <w:pStyle w:val="null3"/>
                  </w:pPr>
                  <w:r>
                    <w:rPr>
                      <w:rFonts w:ascii="仿宋_GB2312" w:hAnsi="仿宋_GB2312" w:cs="仿宋_GB2312" w:eastAsia="仿宋_GB2312"/>
                      <w:sz w:val="24"/>
                      <w:color w:val="000000"/>
                    </w:rPr>
                    <w:t>4.接口支持 USB；</w:t>
                  </w:r>
                </w:p>
                <w:p>
                  <w:pPr>
                    <w:pStyle w:val="null3"/>
                  </w:pPr>
                  <w:r>
                    <w:rPr>
                      <w:rFonts w:ascii="仿宋_GB2312" w:hAnsi="仿宋_GB2312" w:cs="仿宋_GB2312" w:eastAsia="仿宋_GB2312"/>
                      <w:sz w:val="24"/>
                      <w:color w:val="000000"/>
                    </w:rPr>
                    <w:t>5.支持 0TG 即插即用。</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281</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票据打印设备</w:t>
                  </w:r>
                </w:p>
              </w:tc>
              <w:tc>
                <w:tcPr>
                  <w:tcW w:type="dxa" w:w="2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1.热敏打印机；</w:t>
                  </w:r>
                </w:p>
                <w:p>
                  <w:pPr>
                    <w:pStyle w:val="null3"/>
                  </w:pPr>
                  <w:r>
                    <w:rPr>
                      <w:rFonts w:ascii="仿宋_GB2312" w:hAnsi="仿宋_GB2312" w:cs="仿宋_GB2312" w:eastAsia="仿宋_GB2312"/>
                      <w:sz w:val="24"/>
                      <w:color w:val="000000"/>
                    </w:rPr>
                    <w:t>2.接口类型支持 USB；</w:t>
                  </w:r>
                </w:p>
                <w:p>
                  <w:pPr>
                    <w:pStyle w:val="null3"/>
                  </w:pPr>
                  <w:r>
                    <w:rPr>
                      <w:rFonts w:ascii="仿宋_GB2312" w:hAnsi="仿宋_GB2312" w:cs="仿宋_GB2312" w:eastAsia="仿宋_GB2312"/>
                      <w:sz w:val="24"/>
                      <w:color w:val="000000"/>
                    </w:rPr>
                    <w:t>3.支持常规的小票打印纸规格。</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281</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人像采集设备</w:t>
                  </w:r>
                </w:p>
              </w:tc>
              <w:tc>
                <w:tcPr>
                  <w:tcW w:type="dxa" w:w="2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具备人脸捕捉功能；</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.分辨率≥720p/30fps；</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.支持自动对焦；</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 Android 操作系统。</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281</w:t>
                  </w:r>
                </w:p>
              </w:tc>
            </w:tr>
          </w:tbl>
          <w:p>
            <w:pPr>
              <w:pStyle w:val="null3"/>
              <w:ind w:firstLine="482"/>
              <w:jc w:val="left"/>
            </w:pPr>
            <w:r>
              <w:rPr>
                <w:rFonts w:ascii="仿宋_GB2312" w:hAnsi="仿宋_GB2312" w:cs="仿宋_GB2312" w:eastAsia="仿宋_GB2312"/>
                <w:sz w:val="27"/>
                <w:b/>
                <w:color w:val="000000"/>
              </w:rPr>
              <w:t>4、服务要求</w:t>
            </w:r>
          </w:p>
          <w:p>
            <w:pPr>
              <w:pStyle w:val="null3"/>
              <w:ind w:firstLine="482"/>
              <w:jc w:val="left"/>
            </w:pPr>
            <w:r>
              <w:rPr>
                <w:rFonts w:ascii="仿宋_GB2312" w:hAnsi="仿宋_GB2312" w:cs="仿宋_GB2312" w:eastAsia="仿宋_GB2312"/>
                <w:sz w:val="24"/>
                <w:color w:val="000000"/>
              </w:rPr>
              <w:t>1.售后服务要求</w:t>
            </w:r>
          </w:p>
          <w:p>
            <w:pPr>
              <w:pStyle w:val="null3"/>
            </w:pPr>
            <w:r>
              <w:rPr>
                <w:rFonts w:ascii="仿宋_GB2312" w:hAnsi="仿宋_GB2312" w:cs="仿宋_GB2312" w:eastAsia="仿宋_GB2312"/>
                <w:sz w:val="24"/>
                <w:color w:val="000000"/>
              </w:rPr>
              <w:t xml:space="preserve">    （1）★提供质保期 3 年的免费售后服务，质保期自项目验收合格之日起计算。</w:t>
            </w:r>
          </w:p>
          <w:p>
            <w:pPr>
              <w:pStyle w:val="null3"/>
            </w:pPr>
            <w:r>
              <w:rPr>
                <w:rFonts w:ascii="仿宋_GB2312" w:hAnsi="仿宋_GB2312" w:cs="仿宋_GB2312" w:eastAsia="仿宋_GB2312"/>
                <w:sz w:val="24"/>
                <w:color w:val="000000"/>
              </w:rPr>
              <w:t xml:space="preserve">    （2）建立有效的运维保障机制和应急响应机制，保证设备出现故障后2小时内能做出反应，简单故障24小时之内解决并恢复；复杂问题 48小时之内解决并恢复。</w:t>
            </w:r>
          </w:p>
          <w:p>
            <w:pPr>
              <w:pStyle w:val="null3"/>
            </w:pPr>
            <w:r>
              <w:rPr>
                <w:rFonts w:ascii="仿宋_GB2312" w:hAnsi="仿宋_GB2312" w:cs="仿宋_GB2312" w:eastAsia="仿宋_GB2312"/>
                <w:sz w:val="24"/>
                <w:color w:val="000000"/>
              </w:rPr>
              <w:t xml:space="preserve">    （3）质保期内定期派专业维修人员到现场走访，给予检查维护巡检服务以便保证设备正常稳定运行。</w:t>
            </w:r>
          </w:p>
          <w:p>
            <w:pPr>
              <w:pStyle w:val="null3"/>
            </w:pPr>
            <w:r>
              <w:rPr>
                <w:rFonts w:ascii="仿宋_GB2312" w:hAnsi="仿宋_GB2312" w:cs="仿宋_GB2312" w:eastAsia="仿宋_GB2312"/>
                <w:sz w:val="24"/>
                <w:color w:val="000000"/>
              </w:rPr>
              <w:t xml:space="preserve">    （4）后期维护。项目实施完成验收后三年内，设备及系统发生故障、或因其他原因需要对设备进行迁移，由安装单位负责进行维修、迁移等工作，确保设备正常高效运转。</w:t>
            </w:r>
          </w:p>
          <w:p>
            <w:pPr>
              <w:pStyle w:val="null3"/>
            </w:pPr>
            <w:r>
              <w:rPr>
                <w:rFonts w:ascii="仿宋_GB2312" w:hAnsi="仿宋_GB2312" w:cs="仿宋_GB2312" w:eastAsia="仿宋_GB2312"/>
                <w:sz w:val="24"/>
                <w:color w:val="000000"/>
              </w:rPr>
              <w:t xml:space="preserve">    （5）农资门店智能终端安装部署陕西省农业投入品监管系统，系统永久免费使用，同时伴随陕西省农业投入监管系统的升级进行同步升级。</w:t>
            </w:r>
          </w:p>
          <w:p>
            <w:pPr>
              <w:pStyle w:val="null3"/>
            </w:pPr>
            <w:r>
              <w:rPr>
                <w:rFonts w:ascii="仿宋_GB2312" w:hAnsi="仿宋_GB2312" w:cs="仿宋_GB2312" w:eastAsia="仿宋_GB2312"/>
                <w:sz w:val="24"/>
                <w:color w:val="000000"/>
              </w:rPr>
              <w:t xml:space="preserve">    2.项目培训要求</w:t>
            </w:r>
          </w:p>
          <w:p>
            <w:pPr>
              <w:pStyle w:val="null3"/>
            </w:pPr>
            <w:r>
              <w:rPr>
                <w:rFonts w:ascii="仿宋_GB2312" w:hAnsi="仿宋_GB2312" w:cs="仿宋_GB2312" w:eastAsia="仿宋_GB2312"/>
                <w:sz w:val="24"/>
                <w:color w:val="000000"/>
              </w:rPr>
              <w:t xml:space="preserve">    （1）供应商应制定详尽的培训方案，明确培训目标、内容、方式等培训所需各类资源。</w:t>
            </w:r>
          </w:p>
          <w:p>
            <w:pPr>
              <w:pStyle w:val="null3"/>
            </w:pPr>
            <w:r>
              <w:rPr>
                <w:rFonts w:ascii="仿宋_GB2312" w:hAnsi="仿宋_GB2312" w:cs="仿宋_GB2312" w:eastAsia="仿宋_GB2312"/>
                <w:sz w:val="24"/>
                <w:color w:val="000000"/>
              </w:rPr>
              <w:t xml:space="preserve">    （2）供应商须选派具有一定资质和实践经验，且受过专门训练的专业技术人员负责技术培训工作。</w:t>
            </w:r>
          </w:p>
          <w:p>
            <w:pPr>
              <w:pStyle w:val="null3"/>
            </w:pPr>
            <w:r>
              <w:rPr>
                <w:rFonts w:ascii="仿宋_GB2312" w:hAnsi="仿宋_GB2312" w:cs="仿宋_GB2312" w:eastAsia="仿宋_GB2312"/>
                <w:sz w:val="24"/>
                <w:color w:val="000000"/>
              </w:rPr>
              <w:t xml:space="preserve">    （3）供应商的培训内容包括基本理论和现场操作辅导，培训方式包括技术讲课、操作示范和技术咨询等，确保培训人员对系统基本理论、操作规范、管理维护等方面获得全面了解和掌握。</w:t>
            </w:r>
          </w:p>
          <w:p>
            <w:pPr>
              <w:pStyle w:val="null3"/>
            </w:pPr>
            <w:r>
              <w:rPr>
                <w:rFonts w:ascii="仿宋_GB2312" w:hAnsi="仿宋_GB2312" w:cs="仿宋_GB2312" w:eastAsia="仿宋_GB2312"/>
                <w:sz w:val="24"/>
                <w:color w:val="000000"/>
              </w:rPr>
              <w:t xml:space="preserve">    （4）项目培训采取集中培训和现场培训相结合的方式。</w:t>
            </w:r>
          </w:p>
          <w:p>
            <w:pPr>
              <w:pStyle w:val="null3"/>
            </w:pPr>
            <w:r>
              <w:rPr>
                <w:rFonts w:ascii="仿宋_GB2312" w:hAnsi="仿宋_GB2312" w:cs="仿宋_GB2312" w:eastAsia="仿宋_GB2312"/>
                <w:sz w:val="24"/>
                <w:color w:val="000000"/>
              </w:rPr>
              <w:t xml:space="preserve">    集中培训。在完成整体调试后,由项目供应商负责组织针对使用系统的行业主管单位用户，集中进行使用培训和安全知识培训工作。</w:t>
            </w:r>
          </w:p>
          <w:p>
            <w:pPr>
              <w:pStyle w:val="null3"/>
            </w:pPr>
            <w:r>
              <w:rPr>
                <w:rFonts w:ascii="仿宋_GB2312" w:hAnsi="仿宋_GB2312" w:cs="仿宋_GB2312" w:eastAsia="仿宋_GB2312"/>
                <w:sz w:val="24"/>
                <w:color w:val="000000"/>
              </w:rPr>
              <w:t xml:space="preserve">    现场培训。现场培训针对农资门店从业人员，由供应商在门店设备调试完成的同时，开展现场设备操作及软件平台使用培训工作。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1、经过试运行期后，且无重大事故发生，在提交全部相关文档、代码等交付物的前提下，中标单位可以向采购方提出系统验收申请，验收应由采购方组织验收。 2、项目成果提交需包括以下：（1）系统安装文件、 源代码及详细说明文档；（2）项目实施过程中产生的各类文档，包括各类规范及标准化成果文档；（3）系统开发及项目实施等相关文档，包括但不限于项目实施计划、项目需求说明书、概要设计说明书、详细设计说明书、数据库设计说明书、系统测试报告、操作手册、用户手册（含详细的部署方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合同签订完成后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整个项目实施完成之后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项目验收合格之后并出具验收报告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 不能满足采购需求，采购人有权终止合同，甚至对供方违约行为进行追究。 3、乙方应确保其依据本协议向甲方提交的产品和服务不存在任何侵犯第三方知识产权等权益的情形。甲方因乙方提交的产品和服务而被主张侵权所导致的所有损 失将由乙方承担。 4、因乙方迟延履行，使该系统未能按合同各运行阶段规定的时间达到运行各阶段要求，甲方从应付款项中 按下列计算方式扣除迟延履行赔偿金。每逾期一天，赔偿金按本合同总金额的2‰计收，赔偿金标准为不高于合同总额的5%。乙方逾期超过（90）日的，甲方有权解除合同，并有权要求乙方退还已付所有价款、支付相应违约金和承担甲方因此遭受的其他损失。 5、双方经协商一致可以解除本合同。任何一方单方面解除本合同的，应承担由此而给对方造成的损失。 解决争议的方法：合同发生纠纷时，双方应协商解决，协商不成可以采用下列方式解决；①提交当地仲裁委员会仲裁； ②具有管辖权的人民法院提起诉讼。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投标文件截止时间不足一年的可提供成立至今的财务报表），或其基本存款账户开户银行出具的资信证明（附基本存款账户证明材料）；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供应商具有独立承担民事责任能力的法人、其他组织或自然人，并出具合法有效的统一社会信用代码的营业执照或事业单位法人证书等合法经营凭证的相关证明，自然人参与的提供其身份证明；</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书，并与营业执照上信息一致。法定代表人授权代表参加投标的，须出具法定代表人授权书及授权代表身份证（被授权人须提供开标截止时间之前近1个月社保缴纳证明）；</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在“中国执行信息公开网”网站（zxgk.court.gov.cn）中未列入失信被执行人，在“信用中国”网站（www.creditchina.gov.cn）中未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①税收缴纳证明：提供供应商自开标前一年内至少一个月已缴纳的增值税或营业税或企业所得税的凭据或税务机关开具的完税证明；依法免税的应提供相关文件证明; ②社会保障资金缴纳证明：提供供应商自开标前一年内已缴纳的至少一个月的社会保障资金缴存单据或社保机构开具的社会保险参保缴费情况证明，依法不需要缴纳社会保障资金的单位应提供相关证明材料；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供应商提交的相关证明材料.docx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 投标有效期是否符合招标文件的要求。</w:t>
            </w:r>
          </w:p>
        </w:tc>
        <w:tc>
          <w:tcPr>
            <w:tcW w:type="dxa" w:w="1661"/>
          </w:tcPr>
          <w:p>
            <w:pPr>
              <w:pStyle w:val="null3"/>
            </w:pPr>
            <w:r>
              <w:rPr>
                <w:rFonts w:ascii="仿宋_GB2312" w:hAnsi="仿宋_GB2312" w:cs="仿宋_GB2312" w:eastAsia="仿宋_GB2312"/>
              </w:rPr>
              <w:t>服务内容及服务邀请应答表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针对本项目列出整体服务内容和计划安排、服务内容分析、服务目标等进行综合评定。 方案内容分析完整、全面、合理，服务目标明确，完全满足采购人需求计15分； 内容简单粗略、合理性差的计7分；内容不全、有缺项的计4分；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投标人需针对本项目提供完整的项目实施方案。内容包含：①供货方案；②运输、包装方案；③安装、调试方案；④质量保障方案；⑤进度保障方案；并按照以下标准评审： 二、评审标准 1、完整性：方案须全面，对评审内容中的各项要求描述详细； 2、可实施性：切合本项目实际情况，实施步骤清晰、合理； 3、针对性：方案能够紧扣项目实际情况，内容科学合理。 三、赋分依据（满分15分） ①供货方案：每完全满足一个评审标准得1分，满分3分；未提供不得分； ②运输、包装方案：每完全满足一个评审标准得1分，满分3分；未提供不得分； ③安装、调试方案：每完全满足一个评审标准得1分，满分3分；未提供不得分； ④质量保障方案：每完全满足一个评审标准得1分，满分3分；未提供不得分； ⑤进度保障方案：每完全满足一个评审标准得1分，满分3分；未提供不得分；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工作流程管理制度</w:t>
            </w:r>
          </w:p>
        </w:tc>
        <w:tc>
          <w:tcPr>
            <w:tcW w:type="dxa" w:w="2492"/>
          </w:tcPr>
          <w:p>
            <w:pPr>
              <w:pStyle w:val="null3"/>
            </w:pPr>
            <w:r>
              <w:rPr>
                <w:rFonts w:ascii="仿宋_GB2312" w:hAnsi="仿宋_GB2312" w:cs="仿宋_GB2312" w:eastAsia="仿宋_GB2312"/>
              </w:rPr>
              <w:t>供应商针对本项目提供健全的工作流程管理制度。 管理制度健全、规范，详细、具体，针对性强，可实施性高，预期能够实现良好的效果，计6分； 管理制度主要内容的缺失，或内容不够详细全面，针对性较差，难以实施计2分；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①容易出错或忽略的重点、难点分析、②针对所提出的重点、难点有相应的解决方案。 （1）项目重点、难点分析全面、合理、准确，应对措施得当、具体、有效的，得8分； （2）项目重点、难点分析不全面、合理、准确，应对措施不得当、不具体的，得3分；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提供针对本项目的应急措施，项目实施过程中针对突发事件和重大业务时间节点的风险防范措施及应急突发事件的处理预案。二、评审标准 ①完整性：措施须全面，对评审内容中的各项要求有详细描述及说明； ②可实施性：切合本项目实际情况，实施步骤清晰、合理； ③针对性：措施能够紧扣项目实际情况，内容科学合理。 三、赋分标准 每完全满足一项评审标准得3分，基本满足得2分，不满足得1分；满分9分。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提供2022年1月1日以来供应商同类项目的业绩合同（以合同签订日期为准），附业绩合同复印件加盖公章，每份2分，满分6分；未提供不计分。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根据项目实际需求提供售后服务方案。内容包含：①售后服务范围及保障措施②售后服务流程③售后服务响应时间及响应方式；并按以下标准评审： 二、评审标准 1、完整性：方案须全面，对评审内容中的各项要求有详细描述； 2、可实施性：切合本项目实际情况，实施步骤清晰、合理； 3、针对性：方案能够紧扣项目实际情况，内容科学合理。 三、赋分依据（满分9分） ①售后服务范围及保障措施：每完全满足一个评审标准得1分，满分3分，未提供不得分； ②售后服务流程：每完全满足一个评审标准得1分，满分3分，未提供不得分； ③售后服务响应时间及响应方式：每完全满足一个评审标准得1分，满分3分，未提供不得分。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根据项目实际需求提供培训方案。内容包含：①培训方式、培训时间安排②培训范围及内容；并按以下标准评审： 二、评审标准 1、完整性：方案须全面，对评审内容中的各项要求有详细描述； 2、可实施性：切合本项目实际情况，实施步骤清晰、合理； 3、针对性：方案能够紧扣项目实际情况，内容科学合理。 三、赋分依据（满分8分） ①培训方式、培训时间安排：每完全满足一个评审标准得2分，满分4分，未提供不得分； ②培训范围及内容：每完全满足一个评审标准得2分，满分4分，未提供不得分；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项目组织和团队配备</w:t>
            </w:r>
          </w:p>
        </w:tc>
        <w:tc>
          <w:tcPr>
            <w:tcW w:type="dxa" w:w="2492"/>
          </w:tcPr>
          <w:p>
            <w:pPr>
              <w:pStyle w:val="null3"/>
            </w:pPr>
            <w:r>
              <w:rPr>
                <w:rFonts w:ascii="仿宋_GB2312" w:hAnsi="仿宋_GB2312" w:cs="仿宋_GB2312" w:eastAsia="仿宋_GB2312"/>
              </w:rPr>
              <w:t>一、评审内容 供应商提供拟派本项目工作人员组成情况（有具体成员名单，包括姓名、工作经验、工作职责、联系方式等） 二、评审标准 ①完整性：组织机构的运行配备完善、各岗位人员分工明确合理。 ②针对性：人员数量充足，人员资格、年龄等符合采购需求； ③专业性：人员相关岗位经验丰富，切合本项目实际情况。 三、赋分标准 每完全满足一项评审标准得3分，基本满足得2分，不满足得1分；满分9分。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详见附件：供应商提交的相关证明材料.docx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