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版本号：HSZ2025—CGZB—05020251126001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富平县公安局2025自定装备采购项目（执法执勤车辆）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HSZ2025—CGZB—050</w:t>
      </w:r>
      <w:r>
        <w:br/>
      </w:r>
      <w:r>
        <w:br/>
      </w:r>
      <w:r>
        <w:br/>
      </w:r>
    </w:p>
    <w:p>
      <w:pPr>
        <w:pStyle w:val="null3"/>
        <w:jc w:val="center"/>
        <w:outlineLvl w:val="2"/>
      </w:pPr>
      <w:r>
        <w:rPr>
          <w:rFonts w:ascii="仿宋_GB2312" w:hAnsi="仿宋_GB2312" w:cs="仿宋_GB2312" w:eastAsia="仿宋_GB2312"/>
          <w:sz w:val="28"/>
          <w:b/>
        </w:rPr>
        <w:t>富平县公安局（本级）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富平县公安局（本级）</w:t>
      </w:r>
      <w:r>
        <w:rPr>
          <w:rFonts w:ascii="仿宋_GB2312" w:hAnsi="仿宋_GB2312" w:cs="仿宋_GB2312" w:eastAsia="仿宋_GB2312"/>
        </w:rPr>
        <w:t>委托，拟对</w:t>
      </w:r>
      <w:r>
        <w:rPr>
          <w:rFonts w:ascii="仿宋_GB2312" w:hAnsi="仿宋_GB2312" w:cs="仿宋_GB2312" w:eastAsia="仿宋_GB2312"/>
        </w:rPr>
        <w:t>富平县公安局2025自定装备采购项目（执法执勤车辆）</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HSZ2025—CGZB—050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富平县公安局2025自定装备采购项目（执法执勤车辆）</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购买新能源小型客车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财务状况要求：提供2024年经审计的财务报告或开标前近三个月内基本开户银行开具的资信证明（投标人注册时间截至提交投标文件截止日不足一年的可提供成立后任意时段的财务报表，也可提供在工商管理部门备案的公司章程）；</w:t>
      </w:r>
    </w:p>
    <w:p>
      <w:pPr>
        <w:pStyle w:val="null3"/>
      </w:pPr>
      <w:r>
        <w:rPr>
          <w:rFonts w:ascii="仿宋_GB2312" w:hAnsi="仿宋_GB2312" w:cs="仿宋_GB2312" w:eastAsia="仿宋_GB2312"/>
        </w:rPr>
        <w:t>4、缴纳税收的要求：提供依法缴纳税收的良好记录（提供投标截止时间前六个月内任意一个月份的缴纳凭据复印件或扫描件并加盖单位公章。依法免税或开标前一年内零申报的投标人应提供相关证明文件）；</w:t>
      </w:r>
    </w:p>
    <w:p>
      <w:pPr>
        <w:pStyle w:val="null3"/>
      </w:pPr>
      <w:r>
        <w:rPr>
          <w:rFonts w:ascii="仿宋_GB2312" w:hAnsi="仿宋_GB2312" w:cs="仿宋_GB2312" w:eastAsia="仿宋_GB2312"/>
        </w:rPr>
        <w:t>5、缴纳社会保障资金的要求：提供依法缴纳社会保障资金的良好记录（提供投标截止时间前六个月内任意一个月份的缴纳凭据复印件或扫描件并加盖单位公章。依法不需要缴纳社会保障资金的投标人应提供相关证明文件）；</w:t>
      </w:r>
    </w:p>
    <w:p>
      <w:pPr>
        <w:pStyle w:val="null3"/>
      </w:pPr>
      <w:r>
        <w:rPr>
          <w:rFonts w:ascii="仿宋_GB2312" w:hAnsi="仿宋_GB2312" w:cs="仿宋_GB2312" w:eastAsia="仿宋_GB2312"/>
        </w:rPr>
        <w:t>6、信誉要求：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7、无重大违法记录的要求：提供近三年内在经营活动中无重大违法记录的书面声明；</w:t>
      </w:r>
    </w:p>
    <w:p>
      <w:pPr>
        <w:pStyle w:val="null3"/>
      </w:pPr>
      <w:r>
        <w:rPr>
          <w:rFonts w:ascii="仿宋_GB2312" w:hAnsi="仿宋_GB2312" w:cs="仿宋_GB2312" w:eastAsia="仿宋_GB2312"/>
        </w:rPr>
        <w:t>8、投标保证金要求：提供投标保证金银行转账凭证及基本账户信息复印件（或扫描件）或金融机构、担保机构出具的保函复印件（或扫描件），复印件（或扫描件）均须加盖公章；</w:t>
      </w:r>
    </w:p>
    <w:p>
      <w:pPr>
        <w:pStyle w:val="null3"/>
      </w:pPr>
      <w:r>
        <w:rPr>
          <w:rFonts w:ascii="仿宋_GB2312" w:hAnsi="仿宋_GB2312" w:cs="仿宋_GB2312" w:eastAsia="仿宋_GB2312"/>
        </w:rPr>
        <w:t>9、单位负责人为同一人或者存在直接控股、管理关系的不同供应商，不得参加同一合同项下的政府采购活动的要求：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10、具有履行合同所必需的设备和专业技术能力的要求：提供具有履行本合同所必需的设备和专业技术能力的说明及承诺。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招标代理服务收费管理暂行办法》的通知（计价格〔2002〕1980号）计算，按照《国家发展改革委办公厅关于招标代理服务收费有关问题的通知》（发改办价格〔2003〕857号）规定向中标人收取。 若本次招标失败（非代理机构原因），代理服务费由采购人支付。具体金额以代理公司开具的税票为准，中标人在领取中标（成交）通知书时向采购代理机构一次性支付；费用以转账、电汇或现金等形式缴纳。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富平县公安局（本级）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富平县公安局（本级）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的名称、品牌、规格、型号、产地、数量进行检查。2、终验：所有货物(设备)正常使用30个日历日后，由采购人进行终验 (最终验收) ，合格后签发《终验合格单》。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购买新能源小型客车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执法执勤车辆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标的名称：执法执勤车辆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6"/>
              <w:gridCol w:w="450"/>
              <w:gridCol w:w="1268"/>
              <w:gridCol w:w="261"/>
              <w:gridCol w:w="307"/>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七座商务车</w:t>
                  </w:r>
                  <w:r>
                    <w:rPr>
                      <w:rFonts w:ascii="仿宋_GB2312" w:hAnsi="仿宋_GB2312" w:cs="仿宋_GB2312" w:eastAsia="仿宋_GB2312"/>
                      <w:sz w:val="24"/>
                      <w:b/>
                    </w:rPr>
                    <w:t>（核心产品）</w:t>
                  </w:r>
                </w:p>
                <w:p>
                  <w:pPr>
                    <w:pStyle w:val="null3"/>
                    <w:jc w:val="center"/>
                  </w:pP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裸车</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车型</w:t>
                  </w:r>
                  <w:r>
                    <w:rPr>
                      <w:rFonts w:ascii="仿宋_GB2312" w:hAnsi="仿宋_GB2312" w:cs="仿宋_GB2312" w:eastAsia="仿宋_GB2312"/>
                      <w:sz w:val="24"/>
                    </w:rPr>
                    <w:t>：</w:t>
                  </w:r>
                  <w:r>
                    <w:rPr>
                      <w:rFonts w:ascii="仿宋_GB2312" w:hAnsi="仿宋_GB2312" w:cs="仿宋_GB2312" w:eastAsia="仿宋_GB2312"/>
                      <w:sz w:val="24"/>
                    </w:rPr>
                    <w:t>紧凑型</w:t>
                  </w:r>
                  <w:r>
                    <w:rPr>
                      <w:rFonts w:ascii="仿宋_GB2312" w:hAnsi="仿宋_GB2312" w:cs="仿宋_GB2312" w:eastAsia="仿宋_GB2312"/>
                      <w:sz w:val="24"/>
                    </w:rPr>
                    <w:t>MPV</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排量</w:t>
                  </w:r>
                  <w:r>
                    <w:rPr>
                      <w:rFonts w:ascii="仿宋_GB2312" w:hAnsi="仿宋_GB2312" w:cs="仿宋_GB2312" w:eastAsia="仿宋_GB2312"/>
                      <w:sz w:val="24"/>
                    </w:rPr>
                    <w:t>：</w:t>
                  </w:r>
                  <w:r>
                    <w:rPr>
                      <w:rFonts w:ascii="仿宋_GB2312" w:hAnsi="仿宋_GB2312" w:cs="仿宋_GB2312" w:eastAsia="仿宋_GB2312"/>
                      <w:sz w:val="24"/>
                    </w:rPr>
                    <w:t>≥1.5L</w:t>
                  </w:r>
                </w:p>
                <w:p>
                  <w:pPr>
                    <w:pStyle w:val="null3"/>
                    <w:jc w:val="left"/>
                  </w:pPr>
                  <w:r>
                    <w:rPr>
                      <w:rFonts w:ascii="仿宋_GB2312" w:hAnsi="仿宋_GB2312" w:cs="仿宋_GB2312" w:eastAsia="仿宋_GB2312"/>
                      <w:sz w:val="24"/>
                    </w:rPr>
                    <w:t>3.能源类型</w:t>
                  </w:r>
                  <w:r>
                    <w:rPr>
                      <w:rFonts w:ascii="仿宋_GB2312" w:hAnsi="仿宋_GB2312" w:cs="仿宋_GB2312" w:eastAsia="仿宋_GB2312"/>
                      <w:sz w:val="24"/>
                    </w:rPr>
                    <w:t>：</w:t>
                  </w:r>
                  <w:r>
                    <w:rPr>
                      <w:rFonts w:ascii="仿宋_GB2312" w:hAnsi="仿宋_GB2312" w:cs="仿宋_GB2312" w:eastAsia="仿宋_GB2312"/>
                      <w:sz w:val="24"/>
                    </w:rPr>
                    <w:t>插电式混合动力</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排放标准</w:t>
                  </w:r>
                  <w:r>
                    <w:rPr>
                      <w:rFonts w:ascii="仿宋_GB2312" w:hAnsi="仿宋_GB2312" w:cs="仿宋_GB2312" w:eastAsia="仿宋_GB2312"/>
                      <w:sz w:val="24"/>
                    </w:rPr>
                    <w:t>：</w:t>
                  </w:r>
                  <w:r>
                    <w:rPr>
                      <w:rFonts w:ascii="仿宋_GB2312" w:hAnsi="仿宋_GB2312" w:cs="仿宋_GB2312" w:eastAsia="仿宋_GB2312"/>
                      <w:sz w:val="24"/>
                    </w:rPr>
                    <w:t>国六</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发动机最大功率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0KW</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发动机和驱动形式</w:t>
                  </w:r>
                  <w:r>
                    <w:rPr>
                      <w:rFonts w:ascii="仿宋_GB2312" w:hAnsi="仿宋_GB2312" w:cs="仿宋_GB2312" w:eastAsia="仿宋_GB2312"/>
                      <w:sz w:val="24"/>
                    </w:rPr>
                    <w:t>：</w:t>
                  </w:r>
                  <w:r>
                    <w:rPr>
                      <w:rFonts w:ascii="仿宋_GB2312" w:hAnsi="仿宋_GB2312" w:cs="仿宋_GB2312" w:eastAsia="仿宋_GB2312"/>
                      <w:sz w:val="24"/>
                    </w:rPr>
                    <w:t>前置</w:t>
                  </w:r>
                  <w:r>
                    <w:rPr>
                      <w:rFonts w:ascii="仿宋_GB2312" w:hAnsi="仿宋_GB2312" w:cs="仿宋_GB2312" w:eastAsia="仿宋_GB2312"/>
                      <w:sz w:val="24"/>
                    </w:rPr>
                    <w:t>前驱或后驱</w:t>
                  </w:r>
                </w:p>
                <w:p>
                  <w:pPr>
                    <w:pStyle w:val="null3"/>
                    <w:jc w:val="left"/>
                  </w:pPr>
                  <w:r>
                    <w:rPr>
                      <w:rFonts w:ascii="仿宋_GB2312" w:hAnsi="仿宋_GB2312" w:cs="仿宋_GB2312" w:eastAsia="仿宋_GB2312"/>
                      <w:sz w:val="24"/>
                    </w:rPr>
                    <w:t>7.发动机</w:t>
                  </w:r>
                  <w:r>
                    <w:rPr>
                      <w:rFonts w:ascii="仿宋_GB2312" w:hAnsi="仿宋_GB2312" w:cs="仿宋_GB2312" w:eastAsia="仿宋_GB2312"/>
                      <w:sz w:val="24"/>
                    </w:rPr>
                    <w:t>最大扭矩</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0N*m</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变速箱</w:t>
                  </w:r>
                  <w:r>
                    <w:rPr>
                      <w:rFonts w:ascii="仿宋_GB2312" w:hAnsi="仿宋_GB2312" w:cs="仿宋_GB2312" w:eastAsia="仿宋_GB2312"/>
                      <w:sz w:val="24"/>
                    </w:rPr>
                    <w:t>：</w:t>
                  </w:r>
                  <w:r>
                    <w:rPr>
                      <w:rFonts w:ascii="仿宋_GB2312" w:hAnsi="仿宋_GB2312" w:cs="仿宋_GB2312" w:eastAsia="仿宋_GB2312"/>
                      <w:sz w:val="24"/>
                    </w:rPr>
                    <w:t>自动挡</w:t>
                  </w:r>
                </w:p>
                <w:p>
                  <w:pPr>
                    <w:pStyle w:val="null3"/>
                    <w:jc w:val="left"/>
                  </w:pPr>
                  <w:r>
                    <w:rPr>
                      <w:rFonts w:ascii="仿宋_GB2312" w:hAnsi="仿宋_GB2312" w:cs="仿宋_GB2312" w:eastAsia="仿宋_GB2312"/>
                      <w:sz w:val="24"/>
                    </w:rPr>
                    <w:t>9.CLTC</w:t>
                  </w:r>
                  <w:r>
                    <w:rPr>
                      <w:rFonts w:ascii="仿宋_GB2312" w:hAnsi="仿宋_GB2312" w:cs="仿宋_GB2312" w:eastAsia="仿宋_GB2312"/>
                      <w:sz w:val="24"/>
                    </w:rPr>
                    <w:t>纯电续航</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0KM</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电池类型</w:t>
                  </w:r>
                  <w:r>
                    <w:rPr>
                      <w:rFonts w:ascii="仿宋_GB2312" w:hAnsi="仿宋_GB2312" w:cs="仿宋_GB2312" w:eastAsia="仿宋_GB2312"/>
                      <w:sz w:val="24"/>
                    </w:rPr>
                    <w:t>：</w:t>
                  </w:r>
                  <w:r>
                    <w:rPr>
                      <w:rFonts w:ascii="仿宋_GB2312" w:hAnsi="仿宋_GB2312" w:cs="仿宋_GB2312" w:eastAsia="仿宋_GB2312"/>
                      <w:sz w:val="24"/>
                    </w:rPr>
                    <w:t>磷酸铁锂电池</w:t>
                  </w:r>
                  <w:r>
                    <w:rPr>
                      <w:rFonts w:ascii="仿宋_GB2312" w:hAnsi="仿宋_GB2312" w:cs="仿宋_GB2312" w:eastAsia="仿宋_GB2312"/>
                      <w:sz w:val="24"/>
                    </w:rPr>
                    <w:t>或三元锂电池</w:t>
                  </w:r>
                </w:p>
                <w:p>
                  <w:pPr>
                    <w:pStyle w:val="null3"/>
                    <w:jc w:val="left"/>
                  </w:pPr>
                  <w:r>
                    <w:rPr>
                      <w:rFonts w:ascii="仿宋_GB2312" w:hAnsi="仿宋_GB2312" w:cs="仿宋_GB2312" w:eastAsia="仿宋_GB2312"/>
                      <w:sz w:val="24"/>
                    </w:rPr>
                    <w:t>11.电动机最大功率：</w:t>
                  </w:r>
                  <w:r>
                    <w:rPr>
                      <w:rFonts w:ascii="仿宋_GB2312" w:hAnsi="仿宋_GB2312" w:cs="仿宋_GB2312" w:eastAsia="仿宋_GB2312"/>
                      <w:sz w:val="24"/>
                    </w:rPr>
                    <w:t>≥</w:t>
                  </w:r>
                  <w:r>
                    <w:rPr>
                      <w:rFonts w:ascii="仿宋_GB2312" w:hAnsi="仿宋_GB2312" w:cs="仿宋_GB2312" w:eastAsia="仿宋_GB2312"/>
                      <w:sz w:val="24"/>
                    </w:rPr>
                    <w:t>130</w:t>
                  </w:r>
                  <w:r>
                    <w:rPr>
                      <w:rFonts w:ascii="仿宋_GB2312" w:hAnsi="仿宋_GB2312" w:cs="仿宋_GB2312" w:eastAsia="仿宋_GB2312"/>
                      <w:sz w:val="24"/>
                    </w:rPr>
                    <w:t>KW</w:t>
                  </w:r>
                </w:p>
                <w:p>
                  <w:pPr>
                    <w:pStyle w:val="null3"/>
                    <w:jc w:val="left"/>
                  </w:pPr>
                  <w:r>
                    <w:rPr>
                      <w:rFonts w:ascii="仿宋_GB2312" w:hAnsi="仿宋_GB2312" w:cs="仿宋_GB2312" w:eastAsia="仿宋_GB2312"/>
                      <w:sz w:val="24"/>
                    </w:rPr>
                    <w:t>12.电动机最大扭矩：</w:t>
                  </w:r>
                  <w:r>
                    <w:rPr>
                      <w:rFonts w:ascii="仿宋_GB2312" w:hAnsi="仿宋_GB2312" w:cs="仿宋_GB2312" w:eastAsia="仿宋_GB2312"/>
                      <w:sz w:val="24"/>
                    </w:rPr>
                    <w:t>≥</w:t>
                  </w:r>
                  <w:r>
                    <w:rPr>
                      <w:rFonts w:ascii="仿宋_GB2312" w:hAnsi="仿宋_GB2312" w:cs="仿宋_GB2312" w:eastAsia="仿宋_GB2312"/>
                      <w:sz w:val="24"/>
                    </w:rPr>
                    <w:t>240</w:t>
                  </w:r>
                  <w:r>
                    <w:rPr>
                      <w:rFonts w:ascii="仿宋_GB2312" w:hAnsi="仿宋_GB2312" w:cs="仿宋_GB2312" w:eastAsia="仿宋_GB2312"/>
                      <w:sz w:val="24"/>
                    </w:rPr>
                    <w:t>N*m</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车身总长</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4810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车身总宽</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1760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车身总高</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1770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轴距</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2790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制动型式</w:t>
                  </w:r>
                  <w:r>
                    <w:rPr>
                      <w:rFonts w:ascii="仿宋_GB2312" w:hAnsi="仿宋_GB2312" w:cs="仿宋_GB2312" w:eastAsia="仿宋_GB2312"/>
                      <w:sz w:val="24"/>
                    </w:rPr>
                    <w:t>：</w:t>
                  </w:r>
                  <w:r>
                    <w:rPr>
                      <w:rFonts w:ascii="仿宋_GB2312" w:hAnsi="仿宋_GB2312" w:cs="仿宋_GB2312" w:eastAsia="仿宋_GB2312"/>
                      <w:sz w:val="24"/>
                    </w:rPr>
                    <w:t>前通风盘式</w:t>
                  </w:r>
                  <w:r>
                    <w:rPr>
                      <w:rFonts w:ascii="仿宋_GB2312" w:hAnsi="仿宋_GB2312" w:cs="仿宋_GB2312" w:eastAsia="仿宋_GB2312"/>
                      <w:sz w:val="24"/>
                    </w:rPr>
                    <w:t>/后盘式</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车身稳定系统</w:t>
                  </w:r>
                  <w:r>
                    <w:rPr>
                      <w:rFonts w:ascii="仿宋_GB2312" w:hAnsi="仿宋_GB2312" w:cs="仿宋_GB2312" w:eastAsia="仿宋_GB2312"/>
                      <w:sz w:val="24"/>
                    </w:rPr>
                    <w:t>：</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19.前大灯：LED远近光灯</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空调</w:t>
                  </w:r>
                  <w:r>
                    <w:rPr>
                      <w:rFonts w:ascii="仿宋_GB2312" w:hAnsi="仿宋_GB2312" w:cs="仿宋_GB2312" w:eastAsia="仿宋_GB2312"/>
                      <w:sz w:val="24"/>
                    </w:rPr>
                    <w:t>：</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多功能方向盘</w:t>
                  </w:r>
                  <w:r>
                    <w:rPr>
                      <w:rFonts w:ascii="仿宋_GB2312" w:hAnsi="仿宋_GB2312" w:cs="仿宋_GB2312" w:eastAsia="仿宋_GB2312"/>
                      <w:sz w:val="24"/>
                    </w:rPr>
                    <w:t>：</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倒车影像</w:t>
                  </w:r>
                  <w:r>
                    <w:rPr>
                      <w:rFonts w:ascii="仿宋_GB2312" w:hAnsi="仿宋_GB2312" w:cs="仿宋_GB2312" w:eastAsia="仿宋_GB2312"/>
                      <w:sz w:val="24"/>
                    </w:rPr>
                    <w:t>：</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遥控钥匙</w:t>
                  </w:r>
                  <w:r>
                    <w:rPr>
                      <w:rFonts w:ascii="仿宋_GB2312" w:hAnsi="仿宋_GB2312" w:cs="仿宋_GB2312" w:eastAsia="仿宋_GB2312"/>
                      <w:sz w:val="24"/>
                    </w:rPr>
                    <w:t>：</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无钥匙进入及启动</w:t>
                  </w:r>
                  <w:r>
                    <w:rPr>
                      <w:rFonts w:ascii="仿宋_GB2312" w:hAnsi="仿宋_GB2312" w:cs="仿宋_GB2312" w:eastAsia="仿宋_GB2312"/>
                      <w:sz w:val="24"/>
                    </w:rPr>
                    <w:t>：</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主</w:t>
                  </w:r>
                  <w:r>
                    <w:rPr>
                      <w:rFonts w:ascii="仿宋_GB2312" w:hAnsi="仿宋_GB2312" w:cs="仿宋_GB2312" w:eastAsia="仿宋_GB2312"/>
                      <w:sz w:val="24"/>
                    </w:rPr>
                    <w:t>/副驾驶安全气囊</w:t>
                  </w:r>
                  <w:r>
                    <w:rPr>
                      <w:rFonts w:ascii="仿宋_GB2312" w:hAnsi="仿宋_GB2312" w:cs="仿宋_GB2312" w:eastAsia="仿宋_GB2312"/>
                      <w:sz w:val="24"/>
                    </w:rPr>
                    <w:t>：</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轮胎规格</w:t>
                  </w:r>
                  <w:r>
                    <w:rPr>
                      <w:rFonts w:ascii="仿宋_GB2312" w:hAnsi="仿宋_GB2312" w:cs="仿宋_GB2312" w:eastAsia="仿宋_GB2312"/>
                      <w:sz w:val="24"/>
                    </w:rPr>
                    <w:t>：</w:t>
                  </w:r>
                  <w:r>
                    <w:rPr>
                      <w:rFonts w:ascii="仿宋_GB2312" w:hAnsi="仿宋_GB2312" w:cs="仿宋_GB2312" w:eastAsia="仿宋_GB2312"/>
                      <w:sz w:val="24"/>
                    </w:rPr>
                    <w:t>≥235/60 R17</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7日历天内供货完毕。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车辆交付验收通过后，中标人提供合同金额全额发票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的名称、品牌、规格、型号、产地、数量进行检查。2、终验：所有货物(设备)正常使用30个日历日后，由采购人进行终验 (最终验收) ，合格后签发《终验合格单》。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整车质保不少于 3 年或 10 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1、投标时投标人无需提供纸质版投标文件。中标人在领取中标（成交）通知书前将纸质版投标文件3份、电子版（U 盘）文件3份，打印盖章后提交至采购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2024年经审计的财务报告或开标前近三个月内基本开户银行开具的资信证明（投标人注册时间截至提交投标文件截止日不足一年的可提供成立后任意时段的财务报表，也可提供在工商管理部门备案的公司章程）。不得要求投标人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2024年经审计的财务报告或开标前近三个月内基本开户银行开具的资信证明（投标人注册时间截至提交投标文件截止日不足一年的可提供成立后任意时段的财务报表，也可提供在工商管理部门备案的公司章程）；</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提供依法缴纳税收的良好记录（提供投标截止时间前六个月内任意一个月份的缴纳凭据复印件或扫描件并加盖单位公章。依法免税或开标前一年内零申报的投标人应提供相关证明文件）；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提供依法缴纳社会保障资金的良好记录（提供投标截止时间前六个月内任意一个月份的缴纳凭据复印件或扫描件并加盖单位公章。依法不需要缴纳社会保障资金的投标人应提供相关证明文件）；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投标保证金要求</w:t>
            </w:r>
          </w:p>
        </w:tc>
        <w:tc>
          <w:tcPr>
            <w:tcW w:type="dxa" w:w="3322"/>
          </w:tcPr>
          <w:p>
            <w:pPr>
              <w:pStyle w:val="null3"/>
            </w:pPr>
            <w:r>
              <w:rPr>
                <w:rFonts w:ascii="仿宋_GB2312" w:hAnsi="仿宋_GB2312" w:cs="仿宋_GB2312" w:eastAsia="仿宋_GB2312"/>
              </w:rPr>
              <w:t>提供投标保证金银行转账凭证及基本账户信息复印件（或扫描件）或金融机构、担保机构出具的保函复印件（或扫描件），复印件（或扫描件）均须加盖公章；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承诺书.docx 技术部分.docx 其他相关资料.docx 商务响应表.docx 分项报价表.docx 选配件报价表.docx 投标函 残疾人福利性单位声明函 技术响应偏离表.docx 标的清单 投标文件封面 资格审查资料.docx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1、内容无重大缺漏项，报价唯一，且不能高于最高限价。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承诺书.docx 技术部分.docx 其他相关资料.docx 商务响应表.docx 分项报价表.docx 选配件报价表.docx 投标函 残疾人福利性单位声明函 技术响应偏离表.docx 标的清单 投标文件封面 资格审查资料.docx 节能环保、环境标志产品明细表.docx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技术响应偏离表.docx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法律、法规和招标文件规定的其他无效情形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承诺书.docx 技术部分.docx 其他相关资料.docx 商务响应表.docx 分项报价表.docx 选配件报价表.docx 投标函 残疾人福利性单位声明函 技术响应偏离表.docx 标的清单 投标文件封面 资格审查资料.docx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1、对照招标文件，对技术参数和要求等内容做出的实质性响应，按其响应程度计分，产品品牌、规格、型号描述详细，性能全部满足招标文件得基本分（18分）。 参数每负偏离一项扣1分, 扣完为止。 2、加分项（2分）：在基本分的基础上，响应产品技术参数经评标委员会认定确实优于招标文件规定的参数要求，并且对项目实施和应用有实质性提升的（提供证明材料），根据其响应程度进行相应加分，每正偏离一项加0.5分，最多加2分。未提供证明材料的不予加分。 注：若证明材料低于招标文件规定的相应参数时视为负偏离。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1、根据项目需求编制实施方案：包含①供货方案；②)进度计划措施；③人员配备；④验收组织措施；⑤车辆调试方案；⑥应急预案。以上资料每提供一项得3分，最高得18分。 2、根据评审标准对投标人实施方案进行评审,每一条不符合本项目特点和实际需求,存在缺陷或实用性不强的扣1分，扣完为止。 3、评审标准： 完整性：方案须全面，对评审内容中的各项要求有详细描述； 可实施性：切合本项目实际情况，实施步骤清晰、合理；针对性：方案能够紧扣项目实际情况，内容科学合理。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质量证明资料</w:t>
            </w:r>
          </w:p>
        </w:tc>
        <w:tc>
          <w:tcPr>
            <w:tcW w:type="dxa" w:w="2492"/>
          </w:tcPr>
          <w:p>
            <w:pPr>
              <w:pStyle w:val="null3"/>
            </w:pPr>
            <w:r>
              <w:rPr>
                <w:rFonts w:ascii="仿宋_GB2312" w:hAnsi="仿宋_GB2312" w:cs="仿宋_GB2312" w:eastAsia="仿宋_GB2312"/>
              </w:rPr>
              <w:t>①所投产品的技术指标和功能证明材料（包括但不限于产品介绍、彩页、说明书、检测报告、官网和功能截图）；②所投产品合法来源渠道证明文件（包括但不限于产品制造商授权、销售协议/代理协议、厂家营业执照等）。 以上资料每提供一项得0.5分，最高得4分。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1、根据项目需求编制质量保证措施及承诺：包含①质量保证措施；②)质量保证承诺。以上资料每提供一项得3分，最高得6分。 2、根据评审标准对投标人产品的质量保证措施及承诺进行评审，每一条不符合本项目特点和实际需求，存在缺陷或实用性不强的扣1分，扣完为止。 3、评审标准： 完整性：方案须全面，对评审内容中的各项要求有详细描述； 可实施性：切合本项目实际情况，实施步清晰、合理；针对性：方案能够紧扣项目实际情况，内容科学合理。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技术培训及售后服务</w:t>
            </w:r>
          </w:p>
        </w:tc>
        <w:tc>
          <w:tcPr>
            <w:tcW w:type="dxa" w:w="2492"/>
          </w:tcPr>
          <w:p>
            <w:pPr>
              <w:pStyle w:val="null3"/>
            </w:pPr>
            <w:r>
              <w:rPr>
                <w:rFonts w:ascii="仿宋_GB2312" w:hAnsi="仿宋_GB2312" w:cs="仿宋_GB2312" w:eastAsia="仿宋_GB2312"/>
              </w:rPr>
              <w:t>1、针对本项目拟定的技术培训及售后服务方案：包含①技术培训方案包含但不限于车辆设备的基本结构、主要部件的构造、日常使用操作、保养与管理、常见故障的排除、紧急情况的处理6个方面；②健全的售后服务机构、配备专职售后人员；③售后服务方案（须包含解决问题能力、故障处理预案、故障维修响应时间等）；④售后服务保障措施；⑤售后服务承诺；⑥能及时提供产品有关零件和易损件的更换维修服务。以上资料每提供一项得3分，最高得18分。 2、根据评审标准对投标人培训及售后服务方案进行评审，每一条不符合本项目特点和实际需求，存在缺陷或实用性不强的扣1分，扣完为止。 3、评审标准： 完整性：方案须全面，对评审内容中的各项要求有详细描述； 可实施性：切合本项目实际情况，实施步骤清晰、合理；针对性：方案能够紧扣项目实际情况，内容科学合理。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提供2022年6月1日至今类似项目的合同或中标（成交）通知书（以所提供资料的落款时间为准），每提供一份业绩计1分，最高4分。 注：投标文件中附复印件或扫描件并加盖公章。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