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版本号：0617-25A8HZ201920251104001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富平县教育体育局2025-2026学年度大宗食材采购项目（四次）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0617-25A8HZ2019</w:t>
      </w:r>
      <w:r>
        <w:br/>
      </w:r>
      <w:r>
        <w:br/>
      </w:r>
      <w:r>
        <w:br/>
      </w:r>
    </w:p>
    <w:p>
      <w:pPr>
        <w:pStyle w:val="null3"/>
        <w:jc w:val="center"/>
        <w:outlineLvl w:val="2"/>
      </w:pPr>
      <w:r>
        <w:rPr>
          <w:rFonts w:ascii="仿宋_GB2312" w:hAnsi="仿宋_GB2312" w:cs="仿宋_GB2312" w:eastAsia="仿宋_GB2312"/>
          <w:sz w:val="28"/>
          <w:b/>
        </w:rPr>
        <w:t>富平县教育体育局（本级）</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富平县教育体育局（本级）</w:t>
      </w:r>
      <w:r>
        <w:rPr>
          <w:rFonts w:ascii="仿宋_GB2312" w:hAnsi="仿宋_GB2312" w:cs="仿宋_GB2312" w:eastAsia="仿宋_GB2312"/>
        </w:rPr>
        <w:t>委托，拟对</w:t>
      </w:r>
      <w:r>
        <w:rPr>
          <w:rFonts w:ascii="仿宋_GB2312" w:hAnsi="仿宋_GB2312" w:cs="仿宋_GB2312" w:eastAsia="仿宋_GB2312"/>
        </w:rPr>
        <w:t>富平县教育体育局2025-2026学年度大宗食材采购项目（四次）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0617-25A8HZ2019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富平县教育体育局2025-2026学年度大宗食材采购项目（四次）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采购内容:米、面、油、奶、肉、蛋；主要功能或目标:落实校园餐大宗食材采购；需满足的要求:符合国家食品安全许可，安全、营养、健康。</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2、相关资质许可证书：供应商为生产厂家的须具有《动物防疫条件合格证》；供应商为代理商的须提供《食品经营许可证》，并提供所代理产品生产厂家的《动物防疫条件合格证》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2、相关资质许可证书：供应商为生产厂家的须具有《动物防疫条件合格证》；供应商为代理商的须提供《食品经营许可证》，并提供所代理产品生产厂家的《动物防疫条件合格证》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富平县教育体育局（本级）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王思砚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0913-8221261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西安市南二环西段58号成长大厦11-14层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范龙飞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029-85238494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采购包2：700,000.00元</w:t>
            </w:r>
          </w:p>
          <w:p>
            <w:pPr>
              <w:pStyle w:val="null3"/>
            </w:pPr>
            <w:r>
              <w:rPr>
                <w:rFonts w:ascii="仿宋_GB2312" w:hAnsi="仿宋_GB2312" w:cs="仿宋_GB2312" w:eastAsia="仿宋_GB2312"/>
              </w:rPr>
              <w:t>采购包3：700,000.00元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代理服务费收费标准：由中标人按每标段采购预算金额向招标代理机构一次付清招标代理服务费。招标代理服务费的金额以采购预算按照国家发展计划委员会计价格[2002]1980号文件的规定标准计算。 开户名称：西北（陕西）国际招标有限公司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富平县教育体育局（本级）</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富平县教育体育局（本级）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富平县教育体育局（本级）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地址：西安市南二环成长大厦12层1203室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采购内容:米、面、油、奶、肉、蛋；主要功能或目标:落实校园餐大宗食材采购；需满足的要求:符合国家食品安全许可，安全、营养、健康。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采购包11：纯牛奶4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采购包17：鸡蛋2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采购包18：鸡蛋3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标的名称：采购包11：纯牛奶4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1、符合国家饮用纯牛奶标准，每盒≥200mL，采用无菌灌装，常温下保质期≥45天。 2、采购品种为纯牛奶。 3、纯牛奶必须符合“安全、营养、方便、价廉”的基本要求。纯牛奶的质量及其标识应符合国家标GB25190《灭菌乳》并应采用符合GB19301《食品安全国家标准生乳》规定的生鲜乳生产。产品包装应符合国家环保标准，符合GB7718《预包装食品标签通则》和GB28050-2011《预包装食品营养标签通则》的规定。 4、配送周期：自2025年9月起，每周至少配送1次，按照每人每周不低于1盒牛奶进行配送，配送数量以学校要求为准。禁止每次超量配送。奶品运送方式必须采用符合产品贮存条件的运输工具运输，由专人专车在牛奶出厂后尽快配送。每次配送量应包含每批次留样1份，因运输装卸过程中造成的损耗（例如包装严重变形、破损，食品污损、变异等），发现的破损、变异食品必须无条件更换。临时货物的配送应按照学校要求执行。进入校园的工作人员要主动接受学校管理。配送有效期不大于1/3质保期。 5、供应商应具备完善、高效的配送和服务系统，供应商应采取措施保持纯牛奶质量，并安排专人专车向学校配送。送货人员应有可体现体温监测的健康台账。 6、每次供货时须提供产品厂家的每批次出厂检验报告。 7、蛋白质含量≥3g/100ml</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1、投标截止时间前（开标当日），供应商需提供与投标产品相同规格的样品2箱，并在样品上标注供应商名称，样品标准符合采购要求。 样品递交地址：陕西省西安市莲湖区二环南路西段395号亚美伟博广场8楼811 2、样品不予退还。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自合同签订之日起至2026年7月学生放假,到期合同终止。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标的名称：采购包17：鸡蛋2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1.总体要求：食材供应链管理配送企业，能够准确、按时配送鸡蛋到甲方指定地点； 2.服务标准：每天按时按点按照甲方前一天的采购计划表将鸡蛋送到甲方指定地点（或前一天配送，供货商和学校协商），同时所有鸡蛋农药残留含量在国家标准之内，具体采购标准如下： （1）应满足国家标准：GB2749-2015、GB2762-2022）、GB2763-2019、符合中华人民共和国农业行业标准（NY/T754-2011），产品壳包装外观应无残缺，无破损，不得有发霉等异味，包装要足斤足量，干净整洁，不得受潮，不得破损；应使用无毒卫生的包装。 （2）所提供的鲜鸡蛋从养鸡场的产蛋日期至送货日期1-4月和11-12月不超过3天（包括产蛋日），5-10月不超过2天（包括产蛋日）。 （3）色泽:灯光透视时整个蛋呈微红色:去壳后蛋黄呈橘黄色至橙色,蛋白澄清、透明,无其他异常颜色； （4）气味:蛋液具有固有的蛋腥味,无异味； （5）状态:蛋壳清洁完整,无裂纹,无霉斑,灯光透视时蛋内无黑点及异物;去壳后蛋黄凸起完整并带有韧性,蛋白稀稠分明,无正常视力可见外来异物。 （6）重量：每枚≥55g （7）其他要求： ①每天按时按点按照采购人前一天的采购鸡蛋计划表将鸡蛋送到采购人指定地点（500人以上学校可每天或前一天配送；500人以下学校每周至少配送2次，每次配送不超过3日鸡蛋用量） ②配送人员需具有有效的健康证明。 3.履约验收标准 （1）乙方必须确保供应的鸡蛋应保持良好的色泽和新鲜度，符合国家食品质量和卫生标准，不得以次充好。 （2）验收以甲方学生食堂单位验收为准。乙方每次送货时必须按要求填制配送单据，配送单据包括物资品名、规格、计量单位、数量、单价、配送日期、接收单位（人）、验收单位（人）等要素，配送单据由甲方学生食堂签字验收，验收需由供应商、接收单位（人）、验收单位（人）双方3人签字。 （3）验收时，所供鸡蛋数量（重量）、质量不符合要求的，甲方有权要求乙方进行调换或补充，由此产生的费用由乙方承担。 4.采购标的需满足的服务标准、期限、效率等要求： （1）供货商应证照齐全，本身具备仓储、配送能力。 （2）供货商应充分考虑原材料储备、生产能力、库存、配送等方面因素，各批次货物不得以任何理由拖延交货期或拒绝交货，乙方应保证给甲方随时供货，并具有供货规模一周用量的库存。 （3）供货商应按照中标约定，提供合格产品，确保食品安全。 （4）供货商所送每一批次食物，由保管进行感官验收。 （5）若供货商在供货配送中遇突发事件，应提供详细、合理、科学、有效的处理方案，避免因突发事件导致供货不及时。 （6）供货商应针对本招标项目提供生产、物流配送、车辆数量、人员安排等服务方案。 （7）合同履行期限：一学年。 （8）供货商应按照中标约定，提供合格产品，每批次所供货物为同一品质货物，不得以其他品质货物充数，不得有短斤缺两、破损腐烂等现象，若质量和重量等相关方面未达到要求的，应无条件退回，所产生的一切费用由供货商自理，并按时按要求更换。 5.考察形式：对中标的供货商进行现场考察，查看投标产品资质是否真实，日常物资储备、操作流程、加工环境、卫生安全、质量监督体系等情况。 6.其他要求 招标人有权对中标的供货商进行现场验收，查看投标产品资质是否真实，日常物资储备、操作流程、加工环境、卫生安全、质量监督体系等情况，如发现投标文件提供虚假证明材料与实际情况不符，则上报相关行政监督管理部门并按相关规定予以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货质量承诺：所提供货物均须与投标时保持一致，如出现所提供货物与投标响应文件或承诺不一致的情形，采购人有权要求供应商更换（提供）符合招标文件要求的产品且不增加任何费用，如供应商拒不更换，采购人有权终止合同且不支付剩余合同价款并保留追究供应商责任的权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自合同签订之日起至2026年7月学生放假,到期合同终止。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标的名称：采购包18：鸡蛋3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1.总体要求：食材供应链管理配送企业，能够准确、按时配送鸡蛋到甲方指定地点； 2.服务标准：每天按时按点按照甲方前一天的采购计划表将鸡蛋送到甲方指定地点（或前一天配送，供货商和学校协商），同时所有鸡蛋农药残留含量在国家标准之内，具体采购标准如下： （1）应满足国家标准：GB2749-2015、GB2762-2022）、GB2763-2019、符合中华人民共和国农业行业标准（NY/T754-2011），产品壳包装外观应无残缺，无破损，不得有发霉等异味，包装要足斤足量，干净整洁，不得受潮，不得破损；应使用无毒卫生的包装。 （2）所提供的鲜鸡蛋从养鸡场的产蛋日期至送货日期1-4月和11-12月不超过3天（包括产蛋日），5-10月不超过2天（包括产蛋日）。 （3）色泽:灯光透视时整个蛋呈微红色:去壳后蛋黄呈橘黄色至橙色,蛋白澄清、透明,无其他异常颜色； （4）气味:蛋液具有固有的蛋腥味,无异味； （5）状态:蛋壳清洁完整,无裂纹,无霉斑,灯光透视时蛋内无黑点及异物;去壳后蛋黄凸起完整并带有韧性,蛋白稀稠分明,无正常视力可见外来异物。 （6）重量：每枚≥55g （7）其他要求： ①每天按时按点按照采购人前一天的采购鸡蛋计划表将鸡蛋送到采购人指定地点（500人以上学校可每天或前一天配送；500人以下学校每周至少配送2次，每次配送不超过3日鸡蛋用量） ②配送人员需具有有效的健康证明。 3.履约验收标准 （1）乙方必须确保供应的鸡蛋应保持良好的色泽和新鲜度，符合国家食品质量和卫生标准，不得以次充好。 （2）验收以甲方学生食堂单位验收为准。乙方每次送货时必须按要求填制配送单据，配送单据包括物资品名、规格、计量单位、数量、单价、配送日期、接收单位（人）、验收单位（人）等要素，配送单据由甲方学生食堂签字验收，验收需由供应商、接收单位（人）、验收单位（人）双方3人签字。 （3）验收时，所供鸡蛋数量（重量）、质量不符合要求的，甲方有权要求乙方进行调换或补充，由此产生的费用由乙方承担。 4.采购标的需满足的服务标准、期限、效率等要求： （1）供货商应证照齐全，本身具备仓储、配送能力。 （2）供货商应充分考虑原材料储备、生产能力、库存、配送等方面因素，各批次货物不得以任何理由拖延交货期或拒绝交货，乙方应保证给甲方随时供货，并具有供货规模一周用量的库存。 （3）供货商应按照中标约定，提供合格产品，确保食品安全。 （4）供货商所送每一批次食物，由保管进行感官验收。 （5）若供货商在供货配送中遇突发事件，应提供详细、合理、科学、有效的处理方案，避免因突发事件导致供货不及时。 （6）供货商应针对本招标项目提供生产、物流配送、车辆数量、人员安排等服务方案。 （7）合同履行期限：一学年。 （8）供货商应按照中标约定，提供合格产品，每批次所供货物为同一品质货物，不得以其他品质货物充数，不得有短斤缺两、破损腐烂等现象，若质量和重量等相关方面未达到要求的，应无条件退回，所产生的一切费用由供货商自理，并按时按要求更换。 5.考察形式：对中标的供货商进行现场考察，查看投标产品资质是否真实，日常物资储备、操作流程、加工环境、卫生安全、质量监督体系等情况。 6.其他要求 招标人有权对中标的供货商进行现场验收，查看投标产品资质是否真实，日常物资储备、操作流程、加工环境、卫生安全、质量监督体系等情况，如发现投标文件提供虚假证明材料与实际情况不符，则上报相关行政监督管理部门并按相关规定予以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货质量承诺：所提供货物均须与投标时保持一致，如出现所提供货物与投标响应文件或承诺不一致的情形，采购人有权要求供应商更换（提供）符合招标文件要求的产品且不增加任何费用，如供应商拒不更换，采购人有权终止合同且不支付剩余合同价款并保留追究供应商责任的权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自合同签订之日起至2026年7月学生放假,到期合同终止。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具体内容详见招标文件及合同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质量保证期：1年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具体内容详见招标文件及合同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1、招标文件第五章评标办法 5.4.6确定中标候选人名单所规定“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内容修改为：“采购包1-采购包18：汇总全体评委对每个投标人的赋分，计算出每个投标人的综合得分，按包得分从高到低顺序排列，推荐前3名为中标候选人。得分相同的，按投标报价由低到高顺序排列。评审得分且最后报价相同的，按照技术指标优劣顺序推荐。评审得分且最后报价且技术指标得分均相同的，成交候选供应商并列。评标委员会按照评标包号顺序推荐中标候选人（即采购包1、采购包2、采购包3……采购包18）。如果供应商同时参与了本项目两个或以上包号的投标活动，评标委员会经评审已推荐该供应商为排序在前包号的第一中标候选人，不再推荐其为排序在后包号的中标候选人。经评审后合格供应商除已被推荐为前序包排名第一的中标候选人外少于三家的本包招标失败。投标文件满足招标文件全部实质性要求，且按照评审因素的量化指标评审得分最高的投标人为排名第一的中标候选人。”如招标文件前后规定不一致，以此处规定为准。 2、本招标文件中采购包1对应的实际标的名称为“采购包11：纯牛奶4”、采购包2对应的实际标的名称为“采购包17：鸡蛋2”、采购包3对应的实际标的名称为“采购包18：鸡蛋3”。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供应商为生产厂家的须具有《动物防疫条件合格证》；供应商为代理商的须提供《食品经营许可证》，并提供所代理产品生产厂家的《动物防疫条件合格证》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供应商为生产厂家的须具有《动物防疫条件合格证》；供应商为代理商的须提供《食品经营许可证》，并提供所代理产品生产厂家的《动物防疫条件合格证》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完全符合所有要求，响应情况优异，得4分；每负偏离一项扣1，扣完为止；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制度和措施细致全面、逻辑清晰、可行性极强，得8分； 制度和措施较细致全面、逻辑合理、可行性强，得6.5分； 制度和措施基本完善、逻辑较清晰、可行性较强，得5分； 制度和措施简单、存在少量漏洞、可行性一般，得3分；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渠道正规可靠稳定，证明材料齐全规范，得8分； 渠道正规稳定，证明材料较齐全规范，得6.5分； 渠道基本正规稳定，证明材料齐全但规范性一般，得5分； 渠道稳定性一般，证明材料存在少量缺失，得3分； 未提供或渠道不合法，得0分。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配送计划细致周全，保障措施得力，完全匹配需求，得8分； 配送计划较细致，保障措施完善，基本匹配需求，得6.5分； 配送计划基本细致，保障措施较完善，符合主要需求，得5分； 配送计划简单，保障措施存在少量不足，基本满足需求，得3分； 未提供或无法满足需求，得0分。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方案细致全面，措施具体，人员车辆配置充足合理，得8分； 方案较详细，措施可行，人员车辆配置较充足，得6.5分； 方案基本详细，措施较可行，人员车辆配置基本满足，得5分； 方案简单，措施笼统，人员车辆配置略有不足，得3分；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具有食品配送服务应急方案和产品定期检验的方案措施，依据应急方案情况赋分。 应急方案细致全面，流程清晰，检验标准明确，可行性强，得8分； 应急方案较细致，流程合理，检验标准较明确，得6.5分； 应急方案基本细致，流程较合理，检验标准基本明确，得5分； 应急方案简单，流程笼统，检验标准不完整，得3分；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 （注：采购包12-采购包15评标价为精瘦肉1斤价格、五花肉1斤价格、精排1斤价格合计值。）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完全符合所有要求，响应情况优异，得4分；每负偏离一项扣1，扣完为止；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制度和措施细致全面、逻辑清晰、可行性极强，得8分； 制度和措施较细致全面、逻辑合理、可行性强，得6.5分； 制度和措施基本完善、逻辑较清晰、可行性较强，得5分； 制度和措施简单、存在少量漏洞、可行性一般，得3分；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渠道正规可靠稳定，证明材料齐全规范，得8分； 渠道正规稳定，证明材料较齐全规范，得6.5分； 渠道基本正规稳定，证明材料齐全但规范性一般，得5分； 渠道稳定性一般，证明材料存在少量缺失，得3分； 未提供或渠道不合法，得0分。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配送计划细致周全，保障措施得力，完全匹配需求，得8分； 配送计划较细致，保障措施完善，基本匹配需求，得6.5分； 配送计划基本细致，保障措施较完善，符合主要需求，得5分； 配送计划简单，保障措施存在少量不足，基本满足需求，得3分； 未提供或无法满足需求，得0分。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方案细致全面，措施具体，人员车辆配置充足合理，得8分； 方案较详细，措施可行，人员车辆配置较充足，得6.5分； 方案基本详细，措施较可行，人员车辆配置基本满足，得5分； 方案简单，措施笼统，人员车辆配置略有不足，得3分；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具有食品配送服务应急方案和产品定期检验的方案措施，依据应急方案情况赋分。 应急方案细致全面，流程清晰，检验标准明确，可行性强，得8分； 应急方案较细致，流程合理，检验标准较明确，得6.5分； 应急方案基本细致，流程较合理，检验标准基本明确，得5分； 应急方案简单，流程笼统，检验标准不完整，得3分；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 （注：采购包12-采购包15评标价为精瘦肉1斤价格、五花肉1斤价格、精排1斤价格合计值。）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