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版本号：ZHZB-2025（FW）06720251212001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富平县人民法院2026年度办公大楼和淡村人民法庭物业管理服务采购项目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ZHZB-2025（FW）067</w:t>
      </w:r>
      <w:r>
        <w:br/>
      </w:r>
      <w:r>
        <w:br/>
      </w:r>
      <w:r>
        <w:br/>
      </w:r>
    </w:p>
    <w:p>
      <w:pPr>
        <w:pStyle w:val="null3"/>
        <w:jc w:val="center"/>
        <w:outlineLvl w:val="2"/>
      </w:pPr>
      <w:r>
        <w:rPr>
          <w:rFonts w:ascii="仿宋_GB2312" w:hAnsi="仿宋_GB2312" w:cs="仿宋_GB2312" w:eastAsia="仿宋_GB2312"/>
          <w:sz w:val="28"/>
          <w:b/>
        </w:rPr>
        <w:t>富平县人民法院（本级）</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富平县人民法院（本级）</w:t>
      </w:r>
      <w:r>
        <w:rPr>
          <w:rFonts w:ascii="仿宋_GB2312" w:hAnsi="仿宋_GB2312" w:cs="仿宋_GB2312" w:eastAsia="仿宋_GB2312"/>
        </w:rPr>
        <w:t>委托，拟对</w:t>
      </w:r>
      <w:r>
        <w:rPr>
          <w:rFonts w:ascii="仿宋_GB2312" w:hAnsi="仿宋_GB2312" w:cs="仿宋_GB2312" w:eastAsia="仿宋_GB2312"/>
        </w:rPr>
        <w:t>富平县人民法院2026年度办公大楼和淡村人民法庭物业管理服务采购项目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ZHZB-2025（FW）067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富平县人民法院2026年度办公大楼和淡村人民法庭物业管理服务采购项目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2026年度办公大楼和淡村法庭物业管理服务项目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采购包1（2026年度办公大楼和淡村人民法庭物业管理服务项目）：属于专门面向中小企业采购。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5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5月1日至今任意时段的缴纳证明；供应商需在项目电子化交易系统中按要求上传相应证明文件并进行电子签章。</w:t>
      </w:r>
    </w:p>
    <w:p>
      <w:pPr>
        <w:pStyle w:val="null3"/>
      </w:pPr>
      <w:r>
        <w:rPr>
          <w:rFonts w:ascii="仿宋_GB2312" w:hAnsi="仿宋_GB2312" w:cs="仿宋_GB2312" w:eastAsia="仿宋_GB2312"/>
        </w:rPr>
        <w:t>4、书面声明：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7、备注：备注：（1）以上为供应商的必备资格要求，资格证明文件无效或缺项的响应文件按无效文件处理；（2）分支机构参与磋商时，须提供分支机构符合资格要求的证明文件；（3）书面声明、法定代表人身份证明和法定代表人授权委托书应按竞争性磋商文件的要求填写；（4）依法免税或不需要缴纳社会保障资金的供应商须提供相应证明文件；事业单位法人可不提供良好的商业信誉和健全的财务会计制度、缴纳税收证明及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富平县莲湖路84号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0913-8221365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屈彤 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开户名称：陕西致恒招标代理有限公司</w:t>
            </w:r>
          </w:p>
          <w:p>
            <w:pPr>
              <w:pStyle w:val="null3"/>
            </w:pPr>
            <w:r>
              <w:rPr>
                <w:rFonts w:ascii="仿宋_GB2312" w:hAnsi="仿宋_GB2312" w:cs="仿宋_GB2312" w:eastAsia="仿宋_GB2312"/>
              </w:rPr>
              <w:t>开户银行：中国建设银行股份有限公司西安太华北路支行</w:t>
            </w:r>
          </w:p>
          <w:p>
            <w:pPr>
              <w:pStyle w:val="null3"/>
            </w:pPr>
            <w:r>
              <w:rPr>
                <w:rFonts w:ascii="仿宋_GB2312" w:hAnsi="仿宋_GB2312" w:cs="仿宋_GB2312" w:eastAsia="仿宋_GB2312"/>
              </w:rPr>
              <w:t>银行账号：61050110629600000259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依据《国家发展改革委员会关于进一步放开建设项目专业服务价格的通知》（发改价格【2015】299号），参照《国家计委关于印发&lt;招标代理服务收费管理暂行办法&gt;的通知》(计价格〔2002〕1980号)、《国家发展改革委员会办公厅关于招标代理服务收费有关问题的通知》（发改办价格〔2003〕857号）以及《国家发展改革委关于降低部分建设项目收费标准规范收费行为等有关问题的通知》(发改价格〔2011〕534号)，以服务收费标准向陕西致恒招标代理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富平县人民法院（本级）</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富平县人民法院（本级）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满足国家、行业相关标准，满足采购人相关要求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联系人：屈彤 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2026年度办公大楼和淡村人民法庭物业管理服务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办公大楼和淡村人民法庭物业管理服务采购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标的名称：办公大楼和淡村人民法庭物业管理服务采购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第一部分采购内容及技术要求</w:t>
            </w:r>
          </w:p>
          <w:p>
            <w:pPr>
              <w:pStyle w:val="null3"/>
              <w:jc w:val="both"/>
            </w:pPr>
            <w:r>
              <w:rPr>
                <w:rFonts w:ascii="仿宋_GB2312" w:hAnsi="仿宋_GB2312" w:cs="仿宋_GB2312" w:eastAsia="仿宋_GB2312"/>
                <w:sz w:val="24"/>
                <w:b/>
              </w:rPr>
              <w:t>一、服务范围</w:t>
            </w:r>
          </w:p>
          <w:tbl>
            <w:tblPr>
              <w:tblInd w:type="dxa" w:w="120"/>
              <w:tblBorders>
                <w:top w:val="none" w:color="000000" w:sz="4"/>
                <w:left w:val="none" w:color="000000" w:sz="4"/>
                <w:bottom w:val="none" w:color="000000" w:sz="4"/>
                <w:right w:val="none" w:color="000000" w:sz="4"/>
                <w:insideH w:val="none"/>
                <w:insideV w:val="none"/>
              </w:tblBorders>
            </w:tblPr>
            <w:tblGrid>
              <w:gridCol w:w="942"/>
              <w:gridCol w:w="680"/>
              <w:gridCol w:w="670"/>
              <w:gridCol w:w="262"/>
            </w:tblGrid>
            <w:tr>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人员种类需求</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333333"/>
                      <w:shd w:fill="FFFFFF" w:val="clear"/>
                    </w:rPr>
                    <w:t>富平县人民法院办公大楼和淡村法庭</w:t>
                  </w:r>
                </w:p>
              </w:tc>
              <w:tc>
                <w:tcPr>
                  <w:tcW w:type="dxa" w:w="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项目主管、保洁、餐厅、安全协防等</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项目主管</w:t>
                  </w:r>
                  <w:r>
                    <w:rPr>
                      <w:rFonts w:ascii="仿宋_GB2312" w:hAnsi="仿宋_GB2312" w:cs="仿宋_GB2312" w:eastAsia="仿宋_GB2312"/>
                      <w:sz w:val="24"/>
                    </w:rPr>
                    <w:t>1名</w:t>
                  </w:r>
                </w:p>
                <w:p>
                  <w:pPr>
                    <w:pStyle w:val="null3"/>
                    <w:jc w:val="center"/>
                  </w:pPr>
                  <w:r>
                    <w:rPr>
                      <w:rFonts w:ascii="仿宋_GB2312" w:hAnsi="仿宋_GB2312" w:cs="仿宋_GB2312" w:eastAsia="仿宋_GB2312"/>
                      <w:sz w:val="24"/>
                    </w:rPr>
                    <w:t>保洁人员</w:t>
                  </w:r>
                  <w:r>
                    <w:rPr>
                      <w:rFonts w:ascii="仿宋_GB2312" w:hAnsi="仿宋_GB2312" w:cs="仿宋_GB2312" w:eastAsia="仿宋_GB2312"/>
                      <w:sz w:val="24"/>
                    </w:rPr>
                    <w:t>5名</w:t>
                  </w:r>
                </w:p>
                <w:p>
                  <w:pPr>
                    <w:pStyle w:val="null3"/>
                    <w:jc w:val="center"/>
                  </w:pPr>
                  <w:r>
                    <w:rPr>
                      <w:rFonts w:ascii="仿宋_GB2312" w:hAnsi="仿宋_GB2312" w:cs="仿宋_GB2312" w:eastAsia="仿宋_GB2312"/>
                      <w:sz w:val="24"/>
                    </w:rPr>
                    <w:t>安全协防人员</w:t>
                  </w:r>
                  <w:r>
                    <w:rPr>
                      <w:rFonts w:ascii="仿宋_GB2312" w:hAnsi="仿宋_GB2312" w:cs="仿宋_GB2312" w:eastAsia="仿宋_GB2312"/>
                      <w:sz w:val="24"/>
                    </w:rPr>
                    <w:t>5名</w:t>
                  </w:r>
                </w:p>
                <w:p>
                  <w:pPr>
                    <w:pStyle w:val="null3"/>
                    <w:jc w:val="center"/>
                  </w:pPr>
                  <w:r>
                    <w:rPr>
                      <w:rFonts w:ascii="仿宋_GB2312" w:hAnsi="仿宋_GB2312" w:cs="仿宋_GB2312" w:eastAsia="仿宋_GB2312"/>
                      <w:sz w:val="24"/>
                    </w:rPr>
                    <w:t>餐厅服务人员</w:t>
                  </w:r>
                  <w:r>
                    <w:rPr>
                      <w:rFonts w:ascii="仿宋_GB2312" w:hAnsi="仿宋_GB2312" w:cs="仿宋_GB2312" w:eastAsia="仿宋_GB2312"/>
                      <w:sz w:val="24"/>
                    </w:rPr>
                    <w:t>3名</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二、技术要求</w:t>
            </w:r>
          </w:p>
          <w:p>
            <w:pPr>
              <w:pStyle w:val="null3"/>
              <w:ind w:firstLine="482"/>
              <w:jc w:val="both"/>
            </w:pPr>
            <w:r>
              <w:rPr>
                <w:rFonts w:ascii="仿宋_GB2312" w:hAnsi="仿宋_GB2312" w:cs="仿宋_GB2312" w:eastAsia="仿宋_GB2312"/>
                <w:sz w:val="24"/>
                <w:b/>
              </w:rPr>
              <w:t>（一）管理人员：</w:t>
            </w:r>
          </w:p>
          <w:p>
            <w:pPr>
              <w:pStyle w:val="null3"/>
              <w:ind w:firstLine="480"/>
              <w:jc w:val="left"/>
            </w:pPr>
            <w:r>
              <w:rPr>
                <w:rFonts w:ascii="仿宋_GB2312" w:hAnsi="仿宋_GB2312" w:cs="仿宋_GB2312" w:eastAsia="仿宋_GB2312"/>
                <w:sz w:val="24"/>
              </w:rPr>
              <w:t>项目主管：要求</w:t>
            </w:r>
            <w:r>
              <w:rPr>
                <w:rFonts w:ascii="仿宋_GB2312" w:hAnsi="仿宋_GB2312" w:cs="仿宋_GB2312" w:eastAsia="仿宋_GB2312"/>
                <w:sz w:val="24"/>
              </w:rPr>
              <w:t>2年以上从业经验、有相关技能证书、有较强的的管理能力。</w:t>
            </w:r>
          </w:p>
          <w:p>
            <w:pPr>
              <w:pStyle w:val="null3"/>
              <w:ind w:firstLine="482"/>
              <w:jc w:val="both"/>
            </w:pPr>
            <w:r>
              <w:rPr>
                <w:rFonts w:ascii="仿宋_GB2312" w:hAnsi="仿宋_GB2312" w:cs="仿宋_GB2312" w:eastAsia="仿宋_GB2312"/>
                <w:sz w:val="24"/>
                <w:b/>
              </w:rPr>
              <w:t>（二）保洁人员：</w:t>
            </w:r>
          </w:p>
          <w:p>
            <w:pPr>
              <w:pStyle w:val="null3"/>
              <w:ind w:firstLine="480"/>
              <w:jc w:val="both"/>
            </w:pPr>
            <w:r>
              <w:rPr>
                <w:rFonts w:ascii="仿宋_GB2312" w:hAnsi="仿宋_GB2312" w:cs="仿宋_GB2312" w:eastAsia="仿宋_GB2312"/>
                <w:sz w:val="24"/>
                <w:color w:val="000000"/>
              </w:rPr>
              <w:t>1.保洁员年龄女性不超过55岁，男性不超过60岁；周一至周五8小时，周六周天轮休；</w:t>
            </w:r>
            <w:r>
              <w:rPr>
                <w:rFonts w:ascii="仿宋_GB2312" w:hAnsi="仿宋_GB2312" w:cs="仿宋_GB2312" w:eastAsia="仿宋_GB2312"/>
                <w:sz w:val="24"/>
              </w:rPr>
              <w:t>具有较好沟通能力，身体健康，无传染病（磋商阶段需提供承诺，合同签订后人员上岗前需提供体检证明）；所招聘服务人员做到遵纪守法、品行良好，无违法犯罪记录（提供承诺）；并培训考核合格后方可上岗。</w:t>
            </w:r>
          </w:p>
          <w:p>
            <w:pPr>
              <w:pStyle w:val="null3"/>
              <w:ind w:firstLine="480"/>
              <w:jc w:val="both"/>
            </w:pPr>
            <w:r>
              <w:rPr>
                <w:rFonts w:ascii="仿宋_GB2312" w:hAnsi="仿宋_GB2312" w:cs="仿宋_GB2312" w:eastAsia="仿宋_GB2312"/>
                <w:sz w:val="24"/>
                <w:color w:val="000000"/>
              </w:rPr>
              <w:t>2.标准：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1）保洁作业时间为7：30-17：30。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2）保洁人员上岗必须穿着统一工装、佩戴工牌。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3）保洁人员发型、衣着必须干净整齐。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4）保洁人员的聘用须符合国家的用工标准和采购人的要求。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5）保洁人员上岗前须经过相关的专业操作技能培训。</w:t>
            </w:r>
          </w:p>
          <w:p>
            <w:pPr>
              <w:pStyle w:val="null3"/>
              <w:ind w:firstLine="480"/>
              <w:jc w:val="both"/>
            </w:pPr>
            <w:r>
              <w:rPr>
                <w:rFonts w:ascii="仿宋_GB2312" w:hAnsi="仿宋_GB2312" w:cs="仿宋_GB2312" w:eastAsia="仿宋_GB2312"/>
                <w:sz w:val="24"/>
                <w:color w:val="000000"/>
              </w:rPr>
              <w:t>3.工作规范：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1）合同规定的保洁区域、时间段内必须有专人不间断巡回保洁。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2）任何区域内的清洁工具，做到工具不离手，离手要存放，确保区域干净整洁。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3）保洁合同区域内做到不留卫生死角，垃圾收集在垃圾暂存点，并按照垃圾分类标准及要求密封、分类入桶。</w:t>
            </w:r>
          </w:p>
          <w:p>
            <w:pPr>
              <w:pStyle w:val="null3"/>
              <w:ind w:firstLine="482"/>
              <w:jc w:val="both"/>
            </w:pPr>
            <w:r>
              <w:rPr>
                <w:rFonts w:ascii="仿宋_GB2312" w:hAnsi="仿宋_GB2312" w:cs="仿宋_GB2312" w:eastAsia="仿宋_GB2312"/>
                <w:sz w:val="24"/>
                <w:b/>
              </w:rPr>
              <w:t>（三）安全协防：</w:t>
            </w:r>
          </w:p>
          <w:p>
            <w:pPr>
              <w:pStyle w:val="null3"/>
              <w:ind w:firstLine="480"/>
              <w:jc w:val="both"/>
            </w:pPr>
            <w:r>
              <w:rPr>
                <w:rFonts w:ascii="仿宋_GB2312" w:hAnsi="仿宋_GB2312" w:cs="仿宋_GB2312" w:eastAsia="仿宋_GB2312"/>
                <w:sz w:val="24"/>
                <w:color w:val="000000"/>
              </w:rPr>
              <w:t>1.要求安全协防人员上岗需看管好各自区域设施设备，按时填写巡查记录表，上下班应做好每班次工作交接；作业时间为00:00-24:00；</w:t>
            </w:r>
            <w:r>
              <w:rPr>
                <w:rFonts w:ascii="仿宋_GB2312" w:hAnsi="仿宋_GB2312" w:cs="仿宋_GB2312" w:eastAsia="仿宋_GB2312"/>
                <w:sz w:val="24"/>
              </w:rPr>
              <w:t>年龄在不超过</w:t>
            </w:r>
            <w:r>
              <w:rPr>
                <w:rFonts w:ascii="仿宋_GB2312" w:hAnsi="仿宋_GB2312" w:cs="仿宋_GB2312" w:eastAsia="仿宋_GB2312"/>
                <w:sz w:val="24"/>
              </w:rPr>
              <w:t>60周岁的男性，具有较好沟通能力，身体健康，无传染病（磋商阶段需提供承诺，合同签订后人员上岗前需提供体检证明）；所招聘服务人员做到遵纪守法、品行良好，无违法犯罪记录（提供承诺）；并培训考核合格后方可上岗。</w:t>
            </w:r>
          </w:p>
          <w:p>
            <w:pPr>
              <w:pStyle w:val="null3"/>
              <w:ind w:firstLine="480"/>
              <w:jc w:val="both"/>
            </w:pPr>
            <w:r>
              <w:rPr>
                <w:rFonts w:ascii="仿宋_GB2312" w:hAnsi="仿宋_GB2312" w:cs="仿宋_GB2312" w:eastAsia="仿宋_GB2312"/>
                <w:sz w:val="24"/>
              </w:rPr>
              <w:t>2.标准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1）成交供应商的安全协防人员且具备良好的个人素质，着装规范，严格遵守执勤制度和纪律，文明礼貌待人，能够服从采购人领导的正常工作安排和要求。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成交供应商的安全协防人员应严格履行规定的岗位职责要求，并模范遵守采购人的相关规章制度，自觉维护采购人的形象和良好声誉。对其所接触的采购人公司的商业、运行信息保守秘密，该保密职责即使甲成交供应商合同终止和解除后仍然有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3）成交供应商要做好员工岗前培训、在职培训及安全普及等工作，培训工作每月至少一次，并做好相关记录；成交供应商员工应自觉保持自身良好形象，提高服务意识。</w:t>
            </w:r>
          </w:p>
          <w:p>
            <w:pPr>
              <w:pStyle w:val="null3"/>
              <w:ind w:firstLine="482"/>
              <w:jc w:val="both"/>
            </w:pPr>
            <w:r>
              <w:rPr>
                <w:rFonts w:ascii="仿宋_GB2312" w:hAnsi="仿宋_GB2312" w:cs="仿宋_GB2312" w:eastAsia="仿宋_GB2312"/>
                <w:sz w:val="24"/>
                <w:b/>
              </w:rPr>
              <w:t>（四）餐厅服务人员：</w:t>
            </w:r>
          </w:p>
          <w:p>
            <w:pPr>
              <w:pStyle w:val="null3"/>
              <w:ind w:firstLine="480"/>
              <w:jc w:val="left"/>
            </w:pPr>
            <w:r>
              <w:rPr>
                <w:rFonts w:ascii="仿宋_GB2312" w:hAnsi="仿宋_GB2312" w:cs="仿宋_GB2312" w:eastAsia="仿宋_GB2312"/>
                <w:sz w:val="24"/>
                <w:color w:val="000000"/>
              </w:rPr>
              <w:t>1.餐厅服务人员年龄女性不超过55岁，男性不超过60岁；餐厅主厨具备餐饮行业主厨岗位工作经验；</w:t>
            </w:r>
            <w:r>
              <w:rPr>
                <w:rFonts w:ascii="仿宋_GB2312" w:hAnsi="仿宋_GB2312" w:cs="仿宋_GB2312" w:eastAsia="仿宋_GB2312"/>
                <w:sz w:val="24"/>
              </w:rPr>
              <w:t>有厨师证书或相关技能证书、有较强的管理能力；</w:t>
            </w:r>
          </w:p>
          <w:p>
            <w:pPr>
              <w:pStyle w:val="null3"/>
              <w:ind w:firstLine="480"/>
              <w:jc w:val="left"/>
            </w:pPr>
            <w:r>
              <w:rPr>
                <w:rFonts w:ascii="仿宋_GB2312" w:hAnsi="仿宋_GB2312" w:cs="仿宋_GB2312" w:eastAsia="仿宋_GB2312"/>
                <w:sz w:val="24"/>
              </w:rPr>
              <w:t>餐厅帮厨具备餐饮后厨帮厨工作经验，能熟练完成食材清洗、切配等基础工作；</w:t>
            </w:r>
          </w:p>
          <w:p>
            <w:pPr>
              <w:pStyle w:val="null3"/>
              <w:ind w:firstLine="480"/>
              <w:jc w:val="left"/>
            </w:pPr>
            <w:r>
              <w:rPr>
                <w:rFonts w:ascii="仿宋_GB2312" w:hAnsi="仿宋_GB2312" w:cs="仿宋_GB2312" w:eastAsia="仿宋_GB2312"/>
                <w:sz w:val="24"/>
              </w:rPr>
              <w:t>拟投入人员须身体健康，无传染病（磋商阶段需提供承诺，合同签订后人员上岗前需提供体检证明）；所招聘服务人员做到遵纪守法、品行良好，无违法犯罪记录（提供承诺）；并培训考核合格后方可上岗。</w:t>
            </w:r>
          </w:p>
          <w:p>
            <w:pPr>
              <w:pStyle w:val="null3"/>
              <w:ind w:firstLine="480"/>
              <w:jc w:val="both"/>
            </w:pPr>
            <w:r>
              <w:rPr>
                <w:rFonts w:ascii="仿宋_GB2312" w:hAnsi="仿宋_GB2312" w:cs="仿宋_GB2312" w:eastAsia="仿宋_GB2312"/>
                <w:sz w:val="24"/>
              </w:rPr>
              <w:t>2.标准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1）餐厅人员工作时间为05:30-14:00；16:30-19:00。</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2）餐厅人员上岗必须穿着统一工装、佩戴工牌。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3）餐厅人员发型、衣着必须干净整齐。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4）餐厅人员的聘用须符合国家的用工标准和采购人的要求。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5）餐厅人员上岗前须经过相关的专业操作技能培训。</w:t>
            </w:r>
          </w:p>
          <w:p>
            <w:pPr>
              <w:pStyle w:val="null3"/>
              <w:spacing w:after="120"/>
              <w:ind w:firstLine="480"/>
              <w:jc w:val="both"/>
            </w:pPr>
            <w:r>
              <w:rPr>
                <w:rFonts w:ascii="仿宋_GB2312" w:hAnsi="仿宋_GB2312" w:cs="仿宋_GB2312" w:eastAsia="仿宋_GB2312"/>
                <w:sz w:val="24"/>
              </w:rPr>
              <w:t>3.工作规范</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1）严格执行厨具、餐具清洁消毒流程，使用后的刀具、砧板、容器及时清洗，按规定进行消毒（热力消毒或化学消毒），并存放于指定位置。</w:t>
            </w:r>
          </w:p>
          <w:p>
            <w:pPr>
              <w:pStyle w:val="null3"/>
              <w:spacing w:after="120"/>
              <w:ind w:firstLine="480"/>
              <w:jc w:val="both"/>
            </w:pPr>
            <w:r>
              <w:rPr>
                <w:rFonts w:ascii="仿宋_GB2312" w:hAnsi="仿宋_GB2312" w:cs="仿宋_GB2312" w:eastAsia="仿宋_GB2312"/>
                <w:sz w:val="24"/>
              </w:rPr>
              <w:t>（</w:t>
            </w:r>
            <w:r>
              <w:rPr>
                <w:rFonts w:ascii="仿宋_GB2312" w:hAnsi="仿宋_GB2312" w:cs="仿宋_GB2312" w:eastAsia="仿宋_GB2312"/>
                <w:sz w:val="24"/>
              </w:rPr>
              <w:t>2）每日按规定时间到岗，服从安排，遵守采购人的各项规章制度，不擅自离岗、串岗，不私自带食材、物品出后厨，服从采购人的管理和考核。</w:t>
            </w:r>
          </w:p>
          <w:p>
            <w:pPr>
              <w:pStyle w:val="null3"/>
              <w:jc w:val="center"/>
            </w:pPr>
            <w:r>
              <w:rPr>
                <w:rFonts w:ascii="仿宋_GB2312" w:hAnsi="仿宋_GB2312" w:cs="仿宋_GB2312" w:eastAsia="仿宋_GB2312"/>
                <w:sz w:val="28"/>
                <w:b/>
              </w:rPr>
              <w:t>第二部分商务要求</w:t>
            </w:r>
            <w:r>
              <w:rPr>
                <w:rFonts w:ascii="仿宋_GB2312" w:hAnsi="仿宋_GB2312" w:cs="仿宋_GB2312" w:eastAsia="仿宋_GB2312"/>
                <w:sz w:val="28"/>
                <w:b/>
              </w:rPr>
              <w:t>★</w:t>
            </w:r>
          </w:p>
          <w:p>
            <w:pPr>
              <w:pStyle w:val="null3"/>
              <w:jc w:val="both"/>
            </w:pPr>
            <w:r>
              <w:rPr>
                <w:rFonts w:ascii="仿宋_GB2312" w:hAnsi="仿宋_GB2312" w:cs="仿宋_GB2312" w:eastAsia="仿宋_GB2312"/>
                <w:sz w:val="24"/>
                <w:b/>
              </w:rPr>
              <w:t>一、服务期及地点：</w:t>
            </w:r>
          </w:p>
          <w:p>
            <w:pPr>
              <w:pStyle w:val="null3"/>
              <w:ind w:firstLine="600"/>
              <w:jc w:val="both"/>
            </w:pPr>
            <w:r>
              <w:rPr>
                <w:rFonts w:ascii="仿宋_GB2312" w:hAnsi="仿宋_GB2312" w:cs="仿宋_GB2312" w:eastAsia="仿宋_GB2312"/>
                <w:sz w:val="24"/>
              </w:rPr>
              <w:t>1、 服务期：合同签订后1年。</w:t>
            </w:r>
          </w:p>
          <w:p>
            <w:pPr>
              <w:pStyle w:val="null3"/>
              <w:ind w:firstLine="600"/>
              <w:jc w:val="both"/>
            </w:pPr>
            <w:r>
              <w:rPr>
                <w:rFonts w:ascii="仿宋_GB2312" w:hAnsi="仿宋_GB2312" w:cs="仿宋_GB2312" w:eastAsia="仿宋_GB2312"/>
                <w:sz w:val="24"/>
              </w:rPr>
              <w:t>2、 服务地点：富平县内，采购人指定地点。</w:t>
            </w:r>
          </w:p>
          <w:p>
            <w:pPr>
              <w:pStyle w:val="null3"/>
              <w:jc w:val="both"/>
            </w:pPr>
            <w:r>
              <w:rPr>
                <w:rFonts w:ascii="仿宋_GB2312" w:hAnsi="仿宋_GB2312" w:cs="仿宋_GB2312" w:eastAsia="仿宋_GB2312"/>
                <w:sz w:val="24"/>
                <w:b/>
              </w:rPr>
              <w:t>二、付款方式：合同签订后，服务期结束前付清所有款项。</w:t>
            </w:r>
          </w:p>
          <w:p>
            <w:pPr>
              <w:pStyle w:val="null3"/>
              <w:ind w:firstLine="482"/>
              <w:jc w:val="both"/>
            </w:pPr>
            <w:r>
              <w:rPr>
                <w:rFonts w:ascii="仿宋_GB2312" w:hAnsi="仿宋_GB2312" w:cs="仿宋_GB2312" w:eastAsia="仿宋_GB2312"/>
                <w:sz w:val="24"/>
                <w:b/>
              </w:rPr>
              <w:t>结算方式：对公转账。</w:t>
            </w:r>
          </w:p>
          <w:p>
            <w:pPr>
              <w:pStyle w:val="null3"/>
              <w:jc w:val="both"/>
            </w:pPr>
            <w:r>
              <w:rPr>
                <w:rFonts w:ascii="仿宋_GB2312" w:hAnsi="仿宋_GB2312" w:cs="仿宋_GB2312" w:eastAsia="仿宋_GB2312"/>
                <w:sz w:val="24"/>
                <w:b/>
              </w:rPr>
              <w:t>三、服务质量：满足行业标准以及采购人要求</w:t>
            </w:r>
          </w:p>
          <w:p>
            <w:pPr>
              <w:pStyle w:val="null3"/>
              <w:jc w:val="both"/>
            </w:pPr>
            <w:r>
              <w:rPr>
                <w:rFonts w:ascii="仿宋_GB2312" w:hAnsi="仿宋_GB2312" w:cs="仿宋_GB2312" w:eastAsia="仿宋_GB2312"/>
                <w:sz w:val="24"/>
                <w:b/>
              </w:rPr>
              <w:t>四、合同实施：</w:t>
            </w:r>
          </w:p>
          <w:p>
            <w:pPr>
              <w:pStyle w:val="null3"/>
              <w:ind w:firstLine="480"/>
              <w:jc w:val="both"/>
            </w:pPr>
            <w:r>
              <w:rPr>
                <w:rFonts w:ascii="仿宋_GB2312" w:hAnsi="仿宋_GB2312" w:cs="仿宋_GB2312" w:eastAsia="仿宋_GB2312"/>
                <w:sz w:val="24"/>
              </w:rPr>
              <w:t>1 、成交单位应在合同签订后7个日历日内安排人员与使用单位就本项目工作进行安排、部署。</w:t>
            </w:r>
          </w:p>
          <w:p>
            <w:pPr>
              <w:pStyle w:val="null3"/>
              <w:ind w:firstLine="480"/>
              <w:jc w:val="both"/>
            </w:pPr>
            <w:r>
              <w:rPr>
                <w:rFonts w:ascii="仿宋_GB2312" w:hAnsi="仿宋_GB2312" w:cs="仿宋_GB2312" w:eastAsia="仿宋_GB2312"/>
                <w:sz w:val="24"/>
              </w:rPr>
              <w:t>2 、若因成交单位原因未能在服务期内完成合同规定的义务，由此对甲方造成的延误和一切损失，由成交单位承担和赔偿。</w:t>
            </w:r>
          </w:p>
          <w:p>
            <w:pPr>
              <w:pStyle w:val="null3"/>
              <w:jc w:val="both"/>
            </w:pPr>
            <w:r>
              <w:rPr>
                <w:rFonts w:ascii="仿宋_GB2312" w:hAnsi="仿宋_GB2312" w:cs="仿宋_GB2312" w:eastAsia="仿宋_GB2312"/>
                <w:sz w:val="24"/>
                <w:b/>
              </w:rPr>
              <w:t>五、违约责任：</w:t>
            </w:r>
          </w:p>
          <w:p>
            <w:pPr>
              <w:pStyle w:val="null3"/>
              <w:ind w:firstLine="480"/>
              <w:jc w:val="both"/>
            </w:pPr>
            <w:r>
              <w:rPr>
                <w:rFonts w:ascii="仿宋_GB2312" w:hAnsi="仿宋_GB2312" w:cs="仿宋_GB2312" w:eastAsia="仿宋_GB2312"/>
                <w:sz w:val="24"/>
              </w:rPr>
              <w:t>1、按《中华人民共和国民法典》中的相关条款执行。</w:t>
            </w:r>
          </w:p>
          <w:p>
            <w:pPr>
              <w:pStyle w:val="null3"/>
              <w:ind w:firstLine="480"/>
              <w:jc w:val="both"/>
            </w:pPr>
            <w:r>
              <w:rPr>
                <w:rFonts w:ascii="仿宋_GB2312" w:hAnsi="仿宋_GB2312" w:cs="仿宋_GB2312" w:eastAsia="仿宋_GB2312"/>
                <w:sz w:val="24"/>
              </w:rPr>
              <w:t>2、未按合同要求时限内完成，采购方有权终止合同，并对成交单位违约行为进行追究，同时按《政府采购法》的有关规定进行处罚。</w:t>
            </w:r>
          </w:p>
          <w:p>
            <w:pPr>
              <w:pStyle w:val="null3"/>
              <w:jc w:val="both"/>
            </w:pPr>
            <w:r>
              <w:rPr>
                <w:rFonts w:ascii="仿宋_GB2312" w:hAnsi="仿宋_GB2312" w:cs="仿宋_GB2312" w:eastAsia="仿宋_GB2312"/>
                <w:sz w:val="24"/>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详见采购内容及技术要求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详见采购内容及技术要求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详见采购内容及技术要求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合同签订后，服务期结束前付清所有款项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2、未按合同要求提供服务质量不能满足技术要求，采购方有权终止合同，并对成交单位违约行为进行追究，同时按《政府采购法》的有关规定进行处罚。注：商务要求为实质性要求，不得负偏离。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成交供应商需要在成交后提交纸质版响应文件正本壹套、副本叁套、电子版壹套（U盘）。若电子响应文件与纸质响应文件不一致的，以电子响应文件为准。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年度经审计的财务报告或在2025年5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5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有依法缴纳税收和社会保障资金的良好记录：提供时间在2025年5月1日至今任意时段的缴纳证明；供应商需在项目电子化交易系统中按要求上传相应证明文件并进行电子签章。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1）参加政府采购活动前三年内，在经营活动中没有重大违法记录的书面声明；（2）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的必备资格要求，资格证明文件无效或缺项的响应文件按无效文件处理；（2）分支机构参与磋商时，须提供分支机构符合资格要求的证明文件；（3）书面声明、法定代表人身份证明和法定代表人授权委托书应按竞争性磋商文件的要求填写；（4）依法免税或不需要缴纳社会保障资金的供应商须提供相应证明文件；事业单位法人可不提供良好的商业信誉和健全的财务会计制度、缴纳税收证明及社会保障资金缴纳证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残疾人福利性单位声明函 技术响应偏离表.docx 标的清单 响应函 监狱企业的证明文件 磋商保证金交纳凭证.docx 磋商函.docx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磋商函.docx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供应商参加政府采购活动承诺书.docx 中小企业声明函 商务条款响应偏离表.docx 资格证明文件.docx 响应方案.docx 响应文件封面 残疾人福利性单位声明函 技术响应偏离表.docx 标的清单 响应函 监狱企业的证明文件 磋商保证金交纳凭证.docx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保证金缴纳凭证</w:t>
            </w:r>
          </w:p>
        </w:tc>
        <w:tc>
          <w:tcPr>
            <w:tcW w:type="dxa" w:w="3322"/>
          </w:tcPr>
          <w:p>
            <w:pPr>
              <w:pStyle w:val="null3"/>
            </w:pPr>
            <w:r>
              <w:rPr>
                <w:rFonts w:ascii="仿宋_GB2312" w:hAnsi="仿宋_GB2312" w:cs="仿宋_GB2312" w:eastAsia="仿宋_GB2312"/>
              </w:rPr>
              <w:t>提供保证金转账凭证或担保机构出具的保函是否符合磋商文件要求</w:t>
            </w:r>
          </w:p>
        </w:tc>
        <w:tc>
          <w:tcPr>
            <w:tcW w:type="dxa" w:w="1661"/>
          </w:tcPr>
          <w:p>
            <w:pPr>
              <w:pStyle w:val="null3"/>
            </w:pPr>
            <w:r>
              <w:rPr>
                <w:rFonts w:ascii="仿宋_GB2312" w:hAnsi="仿宋_GB2312" w:cs="仿宋_GB2312" w:eastAsia="仿宋_GB2312"/>
              </w:rPr>
              <w:t>磋商保证金交纳凭证.docx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（2）磋商一览表填写符合要求；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标的清单 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需提供有效的中小企业声明函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供应商参加政府采购活动承诺书.docx 中小企业声明函 报价表 商务条款响应偏离表.docx 资格证明文件.docx 响应方案.docx 响应文件封面 残疾人福利性单位声明函 技术响应偏离表.docx 标的清单 响应函 监狱企业的证明文件 磋商函.docx 磋商保证金交纳凭证.docx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供应商根据对项目的理解，有①对项目的背景和工作目的理解、②工作计划、③安全协防、保洁、餐厅服务等服务方案。 二、评审标准 1、完整性：方案必须全面，对评审内容中的各项要求有详细描述； 2、可实施性：切合本项目实际情况，提出步骤清晰、合理的方案。 3、针对性：方案能够紧扣项目实际情况，内容科学合理。 三、赋分标准（满分18分） ①对项目的背景和工作目的理解：每完全满足一个评审标准得2分，满分6分。 ②工作计划：每完全满足一个评审标准得2分，满分6分。 ③安全协防、保洁、餐厅服务等服务方案：每完全满足一个评审标准得2分，满分6分。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供应商需提供①人员专业性的保证措施、②服务质量保证措施。 二、评审标准 1、完整性：方案必须全面，对评审内容中的各项要求有详细描述； 2、可实施性：切合本项目实际情况，提出步骤清晰、合理的方案。 3、针对性：方案能够紧扣项目实际情况，内容科学合理。 三、赋分标准（满分6分） ①人员专业性的保证措施：每完全满足一个评审标准得1分，满分3分。 ②服务质量保证措施：每完全满足一个评审标准得1分，满分3分。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供应商针对本项目有完整的管理制度，管理制度应包括但不限于①员工聘用管理制度、②人员培训制度、③服务质量检查制度、④设施设备安全使用管理制度、⑤内控制度及信息反馈制度等 二、评审标准 1、完整性：方案必须全面，对评审内容中的各项要求有详细描述； 2、可实施性：切合本项目实际情况，制度规范、可行性强。 3、针对性：方案能够紧扣项目实际情况，内容科学合理。 三、赋分标准（满分15分） ①员工聘用管理制度：每完全满足一个评审标准得1分，满分3分。 ②人员培训制度：每完全满足一个评审标准得1分，满分3分。 ③服务质量检查制度：每完全满足一个评审标准得1分，满分3分。 ④设施设备安全使用管理制度：每完全满足一个评审标准得1分，满分3分。 ⑤内控制度及信息反馈制度：每完全满足一个评审标准得1分，满分3分。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投入设备 工具情况</w:t>
            </w:r>
          </w:p>
        </w:tc>
        <w:tc>
          <w:tcPr>
            <w:tcW w:type="dxa" w:w="2492"/>
          </w:tcPr>
          <w:p>
            <w:pPr>
              <w:pStyle w:val="null3"/>
            </w:pPr>
            <w:r>
              <w:rPr>
                <w:rFonts w:ascii="仿宋_GB2312" w:hAnsi="仿宋_GB2312" w:cs="仿宋_GB2312" w:eastAsia="仿宋_GB2312"/>
              </w:rPr>
              <w:t>一、评审内容 供应商针对本项目拟投入的①装备、②工作服装、③其他工具配备情况。 二、评审标准 1、完整性：设施设备配备全面，对评审内容中的各项要求有详细描述； 2、可实施性：配备设施切合本项目实际情况。 3、针对性：能够紧扣项目实际情况，科学合理。 三、赋分标准（满分9分） ①装备：每完全满足一个评审标准得1分，满分3分。 ②工作服装：每完全满足一个评审标准得1分，满分3分。 ③其他工具配备情况：每完全满足一个评审标准得1分，满分3分。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供应商需有详细的应急措施，包括①自然灾害、火灾、流行病高发期等突发情况的应急预案、②大型活动及采购人临时安排的其他事项特殊情况处理的应急预案。 二、评审标准 1、完整性：方案必须全面，对评审内容中的各项要求有详细描述； 2、可实施性：切合本项目实际情况，提出步骤清晰、合理的方案。 3、针对性：方案能够紧扣项目实际情况，内容科学合理。 三、赋分标准（满分6分） ①自然灾害、火灾、流行病高发期等突发情况的应急预案：每完全满足一个评审标准得1分，满分3分。 ②大型活动及采购人临时安排的其他事项特殊情况处理的应急预案：每完全满足一个评审标准得1分，满分3分。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供应商拟提供的人员安排，数量及素质应满足服务要求，提供拟派遣人员基本信息、以及相关从业证书等证明材料。 人员配备齐全、专业性强、责任制度清晰、职责划分明确、人员证书证件齐全，具备14人及以上得4-7分； 人员配备不够齐全、职责划分不够明确、人员证书证件不齐全，拟派人员不足14人的得0-3分。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重点难点问题分析及解决方案</w:t>
            </w:r>
          </w:p>
        </w:tc>
        <w:tc>
          <w:tcPr>
            <w:tcW w:type="dxa" w:w="2492"/>
          </w:tcPr>
          <w:p>
            <w:pPr>
              <w:pStyle w:val="null3"/>
            </w:pPr>
            <w:r>
              <w:rPr>
                <w:rFonts w:ascii="仿宋_GB2312" w:hAnsi="仿宋_GB2312" w:cs="仿宋_GB2312" w:eastAsia="仿宋_GB2312"/>
              </w:rPr>
              <w:t>针对本项目采购需求涉及的重点、难点等关键问题罗列清楚，并有相应的技术策略及解决方案，每有一条切实可行的方案得2分，满分6分。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供应商能够提供详细的保障措施，①能够考虑并满足采购人的多种需求、②接受采购人对服务的监督、批评和建议、③确保做好物业服务管理工作，不发生安全等意外情况的保障措施。 二、评审标准 1、完整性：方案必须全面，对评审内容中的各项要求有详细描述； 2、可实施性：切合本项目实际情况，提出步骤清晰、合理的方案。 3、针对性：方案能够紧扣项目实际情况，内容科学合理。 三、赋分标准（满分9分） ①能够考虑并满足采购人的多种需求：每完全满足一个评审标准得1分，满分3分。 ②接受采购人对服务的监督、批评和建议：每完全满足一个评审标准得1分，满分3分。 ③确保做好物业服务管理工作，不发生安全等意外情况的保障措施：每完全满足一个评审标准得1分，满分3分。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①承诺所有上岗人员在上岗前经过专业培训，②承诺若出现服务人员因事、病等不能工作的，及时调整其他服务人员补充，③确保服务工作的正常进行。所做承诺内容具体、可行，每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价格分采用低价优先法计算，即满足竞争性磋商文件要求且报价最低的磋商报价为评标基准价，其价格分为满分。其他供应商的价格分统一按照下列公式计算： 磋商报价得分=（评标基准价/磋商报价）×10 磋商小组认为供应商的报价明显低于其他通过符合性审查供应商的报价，有可能影响服务质量或者不能诚信履约的，应当要求其在评标现场合理的时间内提供书面说明，必要时提交相关证明材料；供应商不能证明其报价合理性的，磋商小组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详见附件：磋商保证金交纳凭证.docx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