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F43966">
      <w:pPr>
        <w:spacing w:line="360" w:lineRule="auto"/>
        <w:ind w:left="1080" w:leftChars="257" w:hanging="540"/>
        <w:jc w:val="center"/>
        <w:outlineLvl w:val="0"/>
        <w:rPr>
          <w:rFonts w:hint="eastAsia" w:ascii="仿宋" w:hAnsi="仿宋" w:eastAsia="仿宋" w:cs="仿宋"/>
          <w:b/>
          <w:kern w:val="44"/>
          <w:sz w:val="32"/>
          <w:szCs w:val="20"/>
        </w:rPr>
      </w:pPr>
      <w:r>
        <w:rPr>
          <w:rStyle w:val="7"/>
          <w:rFonts w:hint="eastAsia" w:ascii="仿宋" w:hAnsi="仿宋" w:eastAsia="仿宋" w:cs="仿宋"/>
          <w:szCs w:val="32"/>
        </w:rPr>
        <w:t>拟签订的合同</w:t>
      </w:r>
      <w:bookmarkStart w:id="0" w:name="_Hlt487972895"/>
      <w:bookmarkEnd w:id="0"/>
      <w:bookmarkStart w:id="1" w:name="_Toc216513788"/>
      <w:bookmarkStart w:id="2" w:name="_Toc487900382"/>
      <w:r>
        <w:rPr>
          <w:rStyle w:val="7"/>
          <w:rFonts w:hint="eastAsia" w:ascii="仿宋" w:hAnsi="仿宋" w:eastAsia="仿宋" w:cs="仿宋"/>
          <w:szCs w:val="32"/>
        </w:rPr>
        <w:t>文本</w:t>
      </w:r>
      <w:bookmarkEnd w:id="1"/>
      <w:bookmarkEnd w:id="2"/>
    </w:p>
    <w:p w14:paraId="471D8C7C">
      <w:pPr>
        <w:tabs>
          <w:tab w:val="left" w:pos="735"/>
        </w:tabs>
        <w:autoSpaceDE w:val="0"/>
        <w:autoSpaceDN w:val="0"/>
        <w:adjustRightInd w:val="0"/>
        <w:snapToGrid w:val="0"/>
        <w:spacing w:before="240" w:beforeLines="100" w:line="360" w:lineRule="auto"/>
        <w:rPr>
          <w:rFonts w:hint="eastAsia"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（前款所称采购人）     住所：</w:t>
      </w:r>
    </w:p>
    <w:p w14:paraId="18B88E6F">
      <w:pPr>
        <w:tabs>
          <w:tab w:val="left" w:pos="735"/>
        </w:tabs>
        <w:autoSpaceDE w:val="0"/>
        <w:autoSpaceDN w:val="0"/>
        <w:adjustRightInd w:val="0"/>
        <w:snapToGrid w:val="0"/>
        <w:spacing w:line="360" w:lineRule="auto"/>
        <w:rPr>
          <w:rFonts w:hint="eastAsia"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（前款所称中标人）     住所：</w:t>
      </w:r>
    </w:p>
    <w:p w14:paraId="54FD7983">
      <w:pPr>
        <w:pStyle w:val="4"/>
        <w:rPr>
          <w:rFonts w:hint="eastAsia" w:ascii="仿宋" w:hAnsi="仿宋" w:eastAsia="仿宋" w:cs="仿宋"/>
          <w:lang w:val="zh-CN"/>
        </w:rPr>
      </w:pPr>
    </w:p>
    <w:p w14:paraId="3DC5CE52">
      <w:pPr>
        <w:adjustRightInd w:val="0"/>
        <w:snapToGrid w:val="0"/>
        <w:spacing w:line="360" w:lineRule="auto"/>
        <w:ind w:firstLine="480" w:firstLineChars="200"/>
        <w:rPr>
          <w:rFonts w:hint="eastAsia" w:ascii="仿宋" w:hAnsi="仿宋" w:eastAsia="仿宋" w:cs="仿宋"/>
          <w:sz w:val="24"/>
        </w:rPr>
      </w:pPr>
      <w:bookmarkStart w:id="3" w:name="_Toc19515384"/>
      <w:r>
        <w:rPr>
          <w:rFonts w:hint="eastAsia" w:ascii="仿宋" w:hAnsi="仿宋" w:eastAsia="仿宋" w:cs="仿宋"/>
          <w:sz w:val="24"/>
        </w:rPr>
        <w:t>一、合同内容（标的、数量、质量等）:</w:t>
      </w:r>
      <w:bookmarkEnd w:id="3"/>
    </w:p>
    <w:p w14:paraId="5007B12D">
      <w:pPr>
        <w:adjustRightInd w:val="0"/>
        <w:snapToGrid w:val="0"/>
        <w:spacing w:line="360" w:lineRule="auto"/>
        <w:ind w:firstLine="480" w:firstLineChars="200"/>
        <w:rPr>
          <w:rFonts w:hint="eastAsia" w:ascii="仿宋" w:hAnsi="仿宋" w:eastAsia="仿宋" w:cs="仿宋"/>
          <w:sz w:val="24"/>
        </w:rPr>
      </w:pPr>
      <w:bookmarkStart w:id="4" w:name="_Toc19515385"/>
      <w:r>
        <w:rPr>
          <w:rFonts w:hint="eastAsia" w:ascii="仿宋" w:hAnsi="仿宋" w:eastAsia="仿宋" w:cs="仿宋"/>
          <w:sz w:val="24"/>
        </w:rPr>
        <w:t>二、合同价款</w:t>
      </w:r>
      <w:bookmarkEnd w:id="4"/>
    </w:p>
    <w:p w14:paraId="76A6948E">
      <w:pPr>
        <w:adjustRightInd w:val="0"/>
        <w:snapToGrid w:val="0"/>
        <w:spacing w:line="360" w:lineRule="auto"/>
        <w:ind w:firstLine="480" w:firstLineChars="200"/>
        <w:rPr>
          <w:rFonts w:hint="default" w:ascii="仿宋" w:hAnsi="仿宋" w:eastAsia="仿宋" w:cs="仿宋"/>
          <w:sz w:val="24"/>
          <w:lang w:val="en-US" w:eastAsia="zh-CN"/>
        </w:rPr>
      </w:pPr>
      <w:r>
        <w:rPr>
          <w:rFonts w:hint="eastAsia" w:ascii="仿宋" w:hAnsi="仿宋" w:eastAsia="仿宋" w:cs="仿宋"/>
          <w:sz w:val="24"/>
        </w:rPr>
        <w:t>1、合同单价：</w:t>
      </w:r>
      <w:r>
        <w:rPr>
          <w:rFonts w:hint="eastAsia" w:ascii="仿宋" w:hAnsi="仿宋" w:eastAsia="仿宋" w:cs="仿宋"/>
          <w:sz w:val="24"/>
          <w:u w:val="single"/>
          <w:lang w:val="en-US" w:eastAsia="zh-CN"/>
        </w:rPr>
        <w:t xml:space="preserve">                  </w:t>
      </w:r>
    </w:p>
    <w:p w14:paraId="2BCDD8A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价格包含：投标人的报价按照合同价格执行，该价格包含成本、运输、包装、配送、伴随服务、税务费用。若国家政策性调整医院行业收费标准，影响合同执行时，合同双方协商调整供货价格。所有投标均应以人民币报价。投标人的投标报价应遵守《中华人民共和国价格法》</w:t>
      </w:r>
    </w:p>
    <w:p w14:paraId="7EBE0D7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3、合同为固定单价合同，不受市场价变化的影响。</w:t>
      </w:r>
    </w:p>
    <w:p w14:paraId="4EA22CBD">
      <w:pPr>
        <w:adjustRightInd w:val="0"/>
        <w:snapToGrid w:val="0"/>
        <w:spacing w:line="360" w:lineRule="auto"/>
        <w:ind w:firstLine="480" w:firstLineChars="200"/>
        <w:rPr>
          <w:rFonts w:hint="eastAsia" w:ascii="仿宋" w:hAnsi="仿宋" w:eastAsia="仿宋" w:cs="仿宋"/>
          <w:sz w:val="24"/>
          <w:highlight w:val="yellow"/>
        </w:rPr>
      </w:pPr>
      <w:bookmarkStart w:id="5" w:name="_Toc19515386"/>
      <w:r>
        <w:rPr>
          <w:rFonts w:hint="eastAsia" w:ascii="仿宋" w:hAnsi="仿宋" w:eastAsia="仿宋" w:cs="仿宋"/>
          <w:sz w:val="24"/>
        </w:rPr>
        <w:t>三、合同结算</w:t>
      </w:r>
      <w:bookmarkEnd w:id="5"/>
    </w:p>
    <w:p w14:paraId="364A2300">
      <w:pPr>
        <w:adjustRightInd w:val="0"/>
        <w:snapToGrid w:val="0"/>
        <w:spacing w:line="360" w:lineRule="auto"/>
        <w:ind w:firstLine="480" w:firstLineChars="200"/>
        <w:rPr>
          <w:rFonts w:hint="default" w:ascii="仿宋" w:hAnsi="仿宋" w:eastAsia="仿宋" w:cs="仿宋"/>
          <w:sz w:val="24"/>
          <w:lang w:val="en-US" w:eastAsia="zh-CN"/>
        </w:rPr>
      </w:pPr>
      <w:r>
        <w:rPr>
          <w:rFonts w:hint="eastAsia" w:ascii="仿宋" w:hAnsi="仿宋" w:eastAsia="仿宋" w:cs="仿宋"/>
          <w:sz w:val="24"/>
        </w:rPr>
        <w:t>1、付款比例：签订合同后预付合同价款的30%</w:t>
      </w:r>
      <w:r>
        <w:rPr>
          <w:rFonts w:hint="eastAsia" w:ascii="仿宋" w:hAnsi="仿宋" w:eastAsia="仿宋" w:cs="仿宋"/>
          <w:sz w:val="24"/>
          <w:lang w:eastAsia="zh-CN"/>
        </w:rPr>
        <w:t>；</w:t>
      </w:r>
      <w:r>
        <w:rPr>
          <w:rFonts w:hint="eastAsia" w:ascii="仿宋" w:hAnsi="仿宋" w:eastAsia="仿宋" w:cs="仿宋"/>
          <w:sz w:val="24"/>
          <w:lang w:val="en-US" w:eastAsia="zh-CN"/>
        </w:rPr>
        <w:t>供货完毕后，验收合格结算后付清剩余合同价款。</w:t>
      </w:r>
      <w:bookmarkStart w:id="12" w:name="_GoBack"/>
      <w:bookmarkEnd w:id="12"/>
    </w:p>
    <w:p w14:paraId="7362190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2、结算方式：银行转账。</w:t>
      </w:r>
    </w:p>
    <w:p w14:paraId="1D88527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3、结算单位：由</w:t>
      </w:r>
      <w:r>
        <w:rPr>
          <w:rFonts w:hint="eastAsia" w:ascii="仿宋" w:hAnsi="仿宋" w:eastAsia="仿宋" w:cs="仿宋"/>
          <w:sz w:val="24"/>
          <w:u w:val="single"/>
        </w:rPr>
        <w:t xml:space="preserve">  采购人 </w:t>
      </w:r>
      <w:r>
        <w:rPr>
          <w:rFonts w:hint="eastAsia" w:ascii="仿宋" w:hAnsi="仿宋" w:eastAsia="仿宋" w:cs="仿宋"/>
          <w:sz w:val="24"/>
        </w:rPr>
        <w:t>负责结算，乙方开具合同总价数的全额发票交采购人。</w:t>
      </w:r>
    </w:p>
    <w:p w14:paraId="31B8609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4、供应商需提供随货同行单（票）样式、银行开户户名、开户银行及账号、增值税普通发票等加盖企业公章，且对真实性，有效性负责。</w:t>
      </w:r>
    </w:p>
    <w:p w14:paraId="23926C8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5、签订廉洁购销合同、质量保证协议书、“两票制”承诺书、医用耗材配送合同。</w:t>
      </w:r>
    </w:p>
    <w:p w14:paraId="1A8390D0">
      <w:pPr>
        <w:adjustRightInd w:val="0"/>
        <w:snapToGrid w:val="0"/>
        <w:spacing w:line="360" w:lineRule="auto"/>
        <w:ind w:firstLine="480" w:firstLineChars="200"/>
        <w:rPr>
          <w:rFonts w:hint="eastAsia" w:ascii="仿宋" w:hAnsi="仿宋" w:eastAsia="仿宋" w:cs="仿宋"/>
          <w:sz w:val="24"/>
        </w:rPr>
      </w:pPr>
      <w:bookmarkStart w:id="6" w:name="_Toc19515387"/>
      <w:r>
        <w:rPr>
          <w:rFonts w:hint="eastAsia" w:ascii="仿宋" w:hAnsi="仿宋" w:eastAsia="仿宋" w:cs="仿宋"/>
          <w:sz w:val="24"/>
        </w:rPr>
        <w:t>四、履行期限、地点及方式:</w:t>
      </w:r>
      <w:bookmarkEnd w:id="6"/>
    </w:p>
    <w:p w14:paraId="2B4C4C9C">
      <w:pPr>
        <w:adjustRightInd w:val="0"/>
        <w:snapToGrid w:val="0"/>
        <w:spacing w:line="360" w:lineRule="auto"/>
        <w:ind w:firstLine="480" w:firstLineChars="200"/>
        <w:rPr>
          <w:rFonts w:hint="default" w:ascii="仿宋" w:hAnsi="仿宋" w:eastAsia="仿宋" w:cs="仿宋"/>
          <w:sz w:val="24"/>
          <w:lang w:val="en-US" w:eastAsia="zh-CN"/>
        </w:rPr>
      </w:pPr>
      <w:r>
        <w:rPr>
          <w:rFonts w:hint="eastAsia" w:ascii="仿宋" w:hAnsi="仿宋" w:eastAsia="仿宋" w:cs="仿宋"/>
          <w:sz w:val="24"/>
        </w:rPr>
        <w:t>1、履行期限：</w:t>
      </w:r>
      <w:r>
        <w:rPr>
          <w:rFonts w:hint="eastAsia" w:ascii="仿宋" w:hAnsi="仿宋" w:eastAsia="仿宋" w:cs="仿宋"/>
          <w:sz w:val="24"/>
          <w:u w:val="single"/>
          <w:lang w:val="en-US" w:eastAsia="zh-CN"/>
        </w:rPr>
        <w:t xml:space="preserve">            </w:t>
      </w:r>
      <w:r>
        <w:rPr>
          <w:rFonts w:hint="eastAsia" w:ascii="仿宋" w:hAnsi="仿宋" w:eastAsia="仿宋" w:cs="仿宋"/>
          <w:sz w:val="24"/>
          <w:lang w:val="en-US" w:eastAsia="zh-CN"/>
        </w:rPr>
        <w:t xml:space="preserve"> </w:t>
      </w:r>
    </w:p>
    <w:p w14:paraId="513A333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2、地点：采购人指定地点</w:t>
      </w:r>
    </w:p>
    <w:p w14:paraId="479B5BC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3、方式：按照采购人要求</w:t>
      </w:r>
    </w:p>
    <w:p w14:paraId="4C76AE2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4、售后服务</w:t>
      </w:r>
    </w:p>
    <w:p w14:paraId="2F7A54B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4-1、乙方在接到甲方电话通知后在</w:t>
      </w:r>
      <w:r>
        <w:rPr>
          <w:rFonts w:hint="eastAsia" w:ascii="仿宋" w:hAnsi="仿宋" w:eastAsia="仿宋" w:cs="仿宋"/>
          <w:sz w:val="24"/>
          <w:u w:val="single"/>
        </w:rPr>
        <w:t xml:space="preserve">   </w:t>
      </w:r>
      <w:r>
        <w:rPr>
          <w:rFonts w:hint="eastAsia" w:ascii="仿宋" w:hAnsi="仿宋" w:eastAsia="仿宋" w:cs="仿宋"/>
          <w:sz w:val="24"/>
        </w:rPr>
        <w:t>小时内派出合格的服务人员到达现场进行服务，承担相应费用。</w:t>
      </w:r>
    </w:p>
    <w:p w14:paraId="1C65501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4-2、如果乙方在收到通知后两天内没有弥补缺陷，甲方可采取必要的补救措施，但其风险和费用将由乙方承担，甲方根据合同规定对乙方行使的其它权力不受影响。</w:t>
      </w:r>
    </w:p>
    <w:p w14:paraId="5EB86A85">
      <w:pPr>
        <w:adjustRightInd w:val="0"/>
        <w:snapToGrid w:val="0"/>
        <w:spacing w:line="360" w:lineRule="auto"/>
        <w:ind w:firstLine="480" w:firstLineChars="200"/>
        <w:rPr>
          <w:rFonts w:hint="eastAsia" w:ascii="仿宋" w:hAnsi="仿宋" w:eastAsia="仿宋" w:cs="仿宋"/>
          <w:sz w:val="24"/>
        </w:rPr>
      </w:pPr>
      <w:bookmarkStart w:id="7" w:name="_Toc19515391"/>
      <w:r>
        <w:rPr>
          <w:rFonts w:hint="eastAsia" w:ascii="仿宋" w:hAnsi="仿宋" w:eastAsia="仿宋" w:cs="仿宋"/>
          <w:sz w:val="24"/>
        </w:rPr>
        <w:t>五、验收</w:t>
      </w:r>
      <w:bookmarkEnd w:id="7"/>
    </w:p>
    <w:p w14:paraId="2BF3E0A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1、验收：乙方完成交货后，向甲方提出验收申请，甲方接到乙方验收申请后组织验收（必要时可聘请相应专家或委托相应部门验收）。</w:t>
      </w:r>
    </w:p>
    <w:p w14:paraId="109ACA0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2、最终验收：</w:t>
      </w:r>
    </w:p>
    <w:p w14:paraId="2228619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3、质保期满后：由乙方出具质保期运行质量报告，若存在质量问题，应按相应规定协商处理。</w:t>
      </w:r>
    </w:p>
    <w:p w14:paraId="62CF3EE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4、验收依据：</w:t>
      </w:r>
    </w:p>
    <w:p w14:paraId="0AE4663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4-1、合同文本、合同附件、投标文件、招标文件。</w:t>
      </w:r>
    </w:p>
    <w:p w14:paraId="711FA8E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4-2、国内相应的标准、规范。</w:t>
      </w:r>
    </w:p>
    <w:p w14:paraId="3CB11F1E">
      <w:pPr>
        <w:adjustRightInd w:val="0"/>
        <w:snapToGrid w:val="0"/>
        <w:spacing w:line="360" w:lineRule="auto"/>
        <w:ind w:firstLine="480" w:firstLineChars="200"/>
        <w:rPr>
          <w:rFonts w:hint="eastAsia" w:ascii="仿宋" w:hAnsi="仿宋" w:eastAsia="仿宋" w:cs="仿宋"/>
          <w:sz w:val="24"/>
        </w:rPr>
      </w:pPr>
      <w:bookmarkStart w:id="8" w:name="_Toc19515392"/>
      <w:r>
        <w:rPr>
          <w:rFonts w:hint="eastAsia" w:ascii="仿宋" w:hAnsi="仿宋" w:eastAsia="仿宋" w:cs="仿宋"/>
          <w:sz w:val="24"/>
        </w:rPr>
        <w:t>六、违约责任</w:t>
      </w:r>
      <w:bookmarkEnd w:id="8"/>
    </w:p>
    <w:p w14:paraId="79D697A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1、按《中华人民共和国民法典》中的相关条款执行。</w:t>
      </w:r>
    </w:p>
    <w:p w14:paraId="50EEB7C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2、乙方履约延误</w:t>
      </w:r>
    </w:p>
    <w:p w14:paraId="51EC095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2-1、如乙方事先未征得甲方同意并得到甲方的谅解而单方面延迟执行合同，将按违约终止合同。</w:t>
      </w:r>
    </w:p>
    <w:p w14:paraId="07A182F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60CE667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3、违约终止合同：未按合同要求提供服务或不能满足技术要求，甲方会同监督机构有权终止合同，对乙方违约行为进行追究，同时按政府采购法的有关规定进行相应的处罚。</w:t>
      </w:r>
    </w:p>
    <w:p w14:paraId="30B1D078">
      <w:pPr>
        <w:adjustRightInd w:val="0"/>
        <w:snapToGrid w:val="0"/>
        <w:spacing w:line="360" w:lineRule="auto"/>
        <w:ind w:firstLine="480" w:firstLineChars="200"/>
        <w:rPr>
          <w:rFonts w:hint="eastAsia" w:ascii="仿宋" w:hAnsi="仿宋" w:eastAsia="仿宋" w:cs="仿宋"/>
          <w:sz w:val="24"/>
        </w:rPr>
      </w:pPr>
      <w:bookmarkStart w:id="9" w:name="_Toc19515393"/>
      <w:r>
        <w:rPr>
          <w:rFonts w:hint="eastAsia" w:ascii="仿宋" w:hAnsi="仿宋" w:eastAsia="仿宋" w:cs="仿宋"/>
          <w:sz w:val="24"/>
        </w:rPr>
        <w:t>七、合同组成</w:t>
      </w:r>
      <w:bookmarkEnd w:id="9"/>
    </w:p>
    <w:p w14:paraId="14E9C38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1、中标通知书</w:t>
      </w:r>
    </w:p>
    <w:p w14:paraId="5EF2BA3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2、合同文件</w:t>
      </w:r>
    </w:p>
    <w:p w14:paraId="134C031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3、国家相关规范及标准</w:t>
      </w:r>
    </w:p>
    <w:p w14:paraId="40C3ECDB">
      <w:pPr>
        <w:adjustRightInd w:val="0"/>
        <w:snapToGrid w:val="0"/>
        <w:spacing w:line="360" w:lineRule="auto"/>
        <w:ind w:firstLine="480" w:firstLineChars="200"/>
        <w:rPr>
          <w:rFonts w:hint="eastAsia" w:ascii="仿宋" w:hAnsi="仿宋" w:eastAsia="仿宋" w:cs="仿宋"/>
          <w:sz w:val="24"/>
        </w:rPr>
      </w:pPr>
      <w:bookmarkStart w:id="10" w:name="_Toc19515394"/>
      <w:r>
        <w:rPr>
          <w:rFonts w:hint="eastAsia" w:ascii="仿宋" w:hAnsi="仿宋" w:eastAsia="仿宋" w:cs="仿宋"/>
          <w:sz w:val="24"/>
        </w:rPr>
        <w:t>八、解决争议的方法</w:t>
      </w:r>
      <w:bookmarkEnd w:id="10"/>
    </w:p>
    <w:p w14:paraId="72A3A2FD">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凡因本合同引起的或与本合同有关的争议，双方应友好协商解决。协商不成时，双方均同意采用以下第（  ）种争议解决方式：</w:t>
      </w:r>
    </w:p>
    <w:p w14:paraId="7F138C76">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1、甲、乙双方均同意向（甲方所在地人民法院）提起诉讼。</w:t>
      </w:r>
    </w:p>
    <w:p w14:paraId="75FCEA2E">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2、甲、乙双方均同意向（</w:t>
      </w:r>
      <w:r>
        <w:rPr>
          <w:rFonts w:hint="eastAsia" w:ascii="仿宋" w:hAnsi="仿宋" w:eastAsia="仿宋" w:cs="仿宋"/>
          <w:kern w:val="0"/>
          <w:sz w:val="24"/>
        </w:rPr>
        <w:fldChar w:fldCharType="begin"/>
      </w:r>
      <w:r>
        <w:rPr>
          <w:rFonts w:hint="eastAsia" w:ascii="仿宋" w:hAnsi="仿宋" w:eastAsia="仿宋" w:cs="仿宋"/>
          <w:kern w:val="0"/>
          <w:sz w:val="24"/>
        </w:rPr>
        <w:instrText xml:space="preserve"> HYPERLINK "http://www.baidu.com/s?wd=%E4%BB%B2%E8%A3%81%E5%A7%94%E5%91%98%E4%BC%9A&amp;tn=SE_PcZhidaonwhc_ngpagmjz&amp;rsv_dl=gh_pc_zhidao" \t "_blank" </w:instrText>
      </w:r>
      <w:r>
        <w:rPr>
          <w:rFonts w:hint="eastAsia" w:ascii="仿宋" w:hAnsi="仿宋" w:eastAsia="仿宋" w:cs="仿宋"/>
          <w:kern w:val="0"/>
          <w:sz w:val="24"/>
        </w:rPr>
        <w:fldChar w:fldCharType="separate"/>
      </w:r>
      <w:r>
        <w:rPr>
          <w:rFonts w:hint="eastAsia" w:ascii="仿宋" w:hAnsi="仿宋" w:eastAsia="仿宋" w:cs="仿宋"/>
          <w:kern w:val="0"/>
          <w:sz w:val="24"/>
        </w:rPr>
        <w:t>仲裁委员会</w:t>
      </w:r>
      <w:r>
        <w:rPr>
          <w:rFonts w:hint="eastAsia" w:ascii="仿宋" w:hAnsi="仿宋" w:eastAsia="仿宋" w:cs="仿宋"/>
          <w:kern w:val="0"/>
          <w:sz w:val="24"/>
        </w:rPr>
        <w:fldChar w:fldCharType="end"/>
      </w:r>
      <w:r>
        <w:rPr>
          <w:rFonts w:hint="eastAsia" w:ascii="仿宋" w:hAnsi="仿宋" w:eastAsia="仿宋" w:cs="仿宋"/>
          <w:kern w:val="0"/>
          <w:sz w:val="24"/>
        </w:rPr>
        <w:t>）提起仲裁。</w:t>
      </w:r>
    </w:p>
    <w:p w14:paraId="29E5AB97">
      <w:pPr>
        <w:adjustRightInd w:val="0"/>
        <w:snapToGrid w:val="0"/>
        <w:spacing w:line="360" w:lineRule="auto"/>
        <w:ind w:firstLine="480" w:firstLineChars="200"/>
        <w:rPr>
          <w:rFonts w:hint="eastAsia" w:ascii="仿宋" w:hAnsi="仿宋" w:eastAsia="仿宋" w:cs="仿宋"/>
          <w:sz w:val="24"/>
        </w:rPr>
      </w:pPr>
      <w:bookmarkStart w:id="11" w:name="_Toc19515395"/>
      <w:r>
        <w:rPr>
          <w:rFonts w:hint="eastAsia" w:ascii="仿宋" w:hAnsi="仿宋" w:eastAsia="仿宋" w:cs="仿宋"/>
          <w:sz w:val="24"/>
        </w:rPr>
        <w:t>九、合同生效及其它</w:t>
      </w:r>
      <w:bookmarkEnd w:id="11"/>
    </w:p>
    <w:p w14:paraId="0F4F184B">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571D6AF3">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35CE4D54">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27B9FD78">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4、生效时间：</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620E82E7">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rPr>
      </w:pPr>
    </w:p>
    <w:tbl>
      <w:tblPr>
        <w:tblStyle w:val="5"/>
        <w:tblW w:w="0" w:type="auto"/>
        <w:jc w:val="center"/>
        <w:tblLayout w:type="fixed"/>
        <w:tblCellMar>
          <w:top w:w="0" w:type="dxa"/>
          <w:left w:w="108" w:type="dxa"/>
          <w:bottom w:w="0" w:type="dxa"/>
          <w:right w:w="108" w:type="dxa"/>
        </w:tblCellMar>
      </w:tblPr>
      <w:tblGrid>
        <w:gridCol w:w="4643"/>
        <w:gridCol w:w="4643"/>
      </w:tblGrid>
      <w:tr w14:paraId="3358CF14">
        <w:tblPrEx>
          <w:tblCellMar>
            <w:top w:w="0" w:type="dxa"/>
            <w:left w:w="108" w:type="dxa"/>
            <w:bottom w:w="0" w:type="dxa"/>
            <w:right w:w="108" w:type="dxa"/>
          </w:tblCellMar>
        </w:tblPrEx>
        <w:trPr>
          <w:jc w:val="center"/>
        </w:trPr>
        <w:tc>
          <w:tcPr>
            <w:tcW w:w="4643" w:type="dxa"/>
            <w:noWrap w:val="0"/>
            <w:vAlign w:val="top"/>
          </w:tcPr>
          <w:p w14:paraId="51BE87B1">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5F81FBDC">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73A6BDF5">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23EDF485">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064CB41A">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3437A6C3">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账号：</w:t>
            </w:r>
          </w:p>
        </w:tc>
        <w:tc>
          <w:tcPr>
            <w:tcW w:w="4643" w:type="dxa"/>
            <w:noWrap w:val="0"/>
            <w:vAlign w:val="top"/>
          </w:tcPr>
          <w:p w14:paraId="1209C374">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70806EBF">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04F1A72B">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29A69996">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781ED2DC">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4ED7ED64">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账号：</w:t>
            </w:r>
          </w:p>
        </w:tc>
      </w:tr>
    </w:tbl>
    <w:p w14:paraId="3A2AECAB">
      <w:pPr>
        <w:spacing w:line="360" w:lineRule="auto"/>
        <w:rPr>
          <w:rFonts w:hint="eastAsia" w:ascii="仿宋" w:hAnsi="仿宋" w:eastAsia="仿宋" w:cs="仿宋"/>
          <w:sz w:val="24"/>
        </w:rPr>
      </w:pPr>
      <w:r>
        <w:rPr>
          <w:rFonts w:hint="eastAsia" w:ascii="仿宋" w:hAnsi="仿宋" w:eastAsia="仿宋" w:cs="仿宋"/>
        </w:rPr>
        <w:br w:type="page"/>
      </w:r>
      <w:r>
        <w:rPr>
          <w:rFonts w:hint="eastAsia" w:ascii="仿宋" w:hAnsi="仿宋" w:eastAsia="仿宋" w:cs="仿宋"/>
          <w:sz w:val="24"/>
        </w:rPr>
        <w:t>合同附件：</w:t>
      </w:r>
    </w:p>
    <w:tbl>
      <w:tblPr>
        <w:tblStyle w:val="5"/>
        <w:tblW w:w="5000" w:type="pct"/>
        <w:tblInd w:w="-108" w:type="dxa"/>
        <w:tblLayout w:type="autofit"/>
        <w:tblCellMar>
          <w:top w:w="0" w:type="dxa"/>
          <w:left w:w="108" w:type="dxa"/>
          <w:bottom w:w="0" w:type="dxa"/>
          <w:right w:w="108" w:type="dxa"/>
        </w:tblCellMar>
      </w:tblPr>
      <w:tblGrid>
        <w:gridCol w:w="1571"/>
        <w:gridCol w:w="2299"/>
        <w:gridCol w:w="2524"/>
        <w:gridCol w:w="2128"/>
      </w:tblGrid>
      <w:tr w14:paraId="66CE3E37">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46C0EE55">
            <w:pPr>
              <w:widowControl/>
              <w:jc w:val="center"/>
              <w:rPr>
                <w:rFonts w:hint="eastAsia" w:ascii="仿宋" w:hAnsi="仿宋" w:eastAsia="仿宋" w:cs="仿宋"/>
                <w:b/>
                <w:bCs/>
                <w:kern w:val="0"/>
                <w:sz w:val="32"/>
                <w:szCs w:val="32"/>
              </w:rPr>
            </w:pPr>
            <w:r>
              <w:rPr>
                <w:rFonts w:hint="eastAsia" w:ascii="仿宋" w:hAnsi="仿宋" w:eastAsia="仿宋" w:cs="仿宋"/>
                <w:kern w:val="0"/>
                <w:sz w:val="28"/>
                <w:szCs w:val="28"/>
              </w:rPr>
              <w:t>政府采购项目货物（服务）验收入库报告单</w:t>
            </w:r>
          </w:p>
        </w:tc>
      </w:tr>
      <w:tr w14:paraId="6A64F0AC">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524AC912">
            <w:pPr>
              <w:widowControl/>
              <w:jc w:val="center"/>
              <w:rPr>
                <w:rFonts w:hint="eastAsia" w:ascii="仿宋" w:hAnsi="仿宋" w:eastAsia="仿宋" w:cs="仿宋"/>
                <w:kern w:val="0"/>
                <w:sz w:val="24"/>
              </w:rPr>
            </w:pPr>
            <w:r>
              <w:rPr>
                <w:rFonts w:hint="eastAsia" w:ascii="仿宋" w:hAnsi="仿宋" w:eastAsia="仿宋" w:cs="仿宋"/>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45A03826">
            <w:pPr>
              <w:widowControl/>
              <w:jc w:val="center"/>
              <w:rPr>
                <w:rFonts w:hint="eastAsia" w:ascii="仿宋" w:hAnsi="仿宋" w:eastAsia="仿宋" w:cs="仿宋"/>
                <w:kern w:val="0"/>
                <w:sz w:val="24"/>
              </w:rPr>
            </w:pPr>
            <w:r>
              <w:rPr>
                <w:rFonts w:hint="eastAsia" w:ascii="仿宋" w:hAnsi="仿宋" w:eastAsia="仿宋" w:cs="仿宋"/>
                <w:kern w:val="0"/>
                <w:sz w:val="24"/>
              </w:rPr>
              <w:t>　</w:t>
            </w:r>
          </w:p>
        </w:tc>
      </w:tr>
      <w:tr w14:paraId="6203F67A">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7423E923">
            <w:pPr>
              <w:widowControl/>
              <w:jc w:val="center"/>
              <w:rPr>
                <w:rFonts w:hint="eastAsia" w:ascii="仿宋" w:hAnsi="仿宋" w:eastAsia="仿宋" w:cs="仿宋"/>
                <w:kern w:val="0"/>
                <w:sz w:val="24"/>
              </w:rPr>
            </w:pPr>
            <w:r>
              <w:rPr>
                <w:rFonts w:hint="eastAsia" w:ascii="仿宋" w:hAnsi="仿宋" w:eastAsia="仿宋" w:cs="仿宋"/>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36C7847E">
            <w:pPr>
              <w:widowControl/>
              <w:jc w:val="center"/>
              <w:rPr>
                <w:rFonts w:hint="eastAsia" w:ascii="仿宋" w:hAnsi="仿宋" w:eastAsia="仿宋" w:cs="仿宋"/>
                <w:kern w:val="0"/>
                <w:sz w:val="24"/>
              </w:rPr>
            </w:pPr>
            <w:r>
              <w:rPr>
                <w:rFonts w:hint="eastAsia" w:ascii="仿宋" w:hAnsi="仿宋" w:eastAsia="仿宋" w:cs="仿宋"/>
                <w:kern w:val="0"/>
                <w:sz w:val="24"/>
              </w:rPr>
              <w:t>　</w:t>
            </w:r>
          </w:p>
        </w:tc>
      </w:tr>
      <w:tr w14:paraId="3348A86C">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5670AF78">
            <w:pPr>
              <w:widowControl/>
              <w:jc w:val="center"/>
              <w:rPr>
                <w:rFonts w:hint="eastAsia" w:ascii="仿宋" w:hAnsi="仿宋" w:eastAsia="仿宋" w:cs="仿宋"/>
                <w:kern w:val="0"/>
                <w:sz w:val="24"/>
              </w:rPr>
            </w:pPr>
            <w:r>
              <w:rPr>
                <w:rFonts w:hint="eastAsia" w:ascii="仿宋" w:hAnsi="仿宋" w:eastAsia="仿宋" w:cs="仿宋"/>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5A93EF91">
            <w:pPr>
              <w:widowControl/>
              <w:jc w:val="center"/>
              <w:rPr>
                <w:rFonts w:hint="eastAsia" w:ascii="仿宋" w:hAnsi="仿宋" w:eastAsia="仿宋" w:cs="仿宋"/>
                <w:kern w:val="0"/>
                <w:sz w:val="24"/>
              </w:rPr>
            </w:pPr>
            <w:r>
              <w:rPr>
                <w:rFonts w:hint="eastAsia" w:ascii="仿宋" w:hAnsi="仿宋" w:eastAsia="仿宋" w:cs="仿宋"/>
                <w:kern w:val="0"/>
                <w:sz w:val="24"/>
              </w:rPr>
              <w:t>　</w:t>
            </w:r>
          </w:p>
        </w:tc>
        <w:tc>
          <w:tcPr>
            <w:tcW w:w="1481" w:type="pct"/>
            <w:tcBorders>
              <w:top w:val="nil"/>
              <w:left w:val="nil"/>
              <w:bottom w:val="single" w:color="auto" w:sz="4" w:space="0"/>
              <w:right w:val="single" w:color="auto" w:sz="4" w:space="0"/>
            </w:tcBorders>
            <w:noWrap/>
            <w:vAlign w:val="center"/>
          </w:tcPr>
          <w:p w14:paraId="3E26C6A2">
            <w:pPr>
              <w:widowControl/>
              <w:jc w:val="center"/>
              <w:rPr>
                <w:rFonts w:hint="eastAsia" w:ascii="仿宋" w:hAnsi="仿宋" w:eastAsia="仿宋" w:cs="仿宋"/>
                <w:kern w:val="0"/>
                <w:sz w:val="24"/>
              </w:rPr>
            </w:pPr>
            <w:r>
              <w:rPr>
                <w:rFonts w:hint="eastAsia" w:ascii="仿宋" w:hAnsi="仿宋" w:eastAsia="仿宋" w:cs="仿宋"/>
                <w:kern w:val="0"/>
                <w:sz w:val="24"/>
              </w:rPr>
              <w:t>合同金额</w:t>
            </w:r>
          </w:p>
        </w:tc>
        <w:tc>
          <w:tcPr>
            <w:tcW w:w="1248" w:type="pct"/>
            <w:tcBorders>
              <w:top w:val="nil"/>
              <w:left w:val="nil"/>
              <w:bottom w:val="single" w:color="auto" w:sz="4" w:space="0"/>
              <w:right w:val="single" w:color="auto" w:sz="8" w:space="0"/>
            </w:tcBorders>
            <w:noWrap/>
            <w:vAlign w:val="center"/>
          </w:tcPr>
          <w:p w14:paraId="68AC377B">
            <w:pPr>
              <w:widowControl/>
              <w:jc w:val="left"/>
              <w:rPr>
                <w:rFonts w:hint="eastAsia" w:ascii="仿宋" w:hAnsi="仿宋" w:eastAsia="仿宋" w:cs="仿宋"/>
                <w:kern w:val="0"/>
                <w:sz w:val="24"/>
              </w:rPr>
            </w:pPr>
            <w:r>
              <w:rPr>
                <w:rFonts w:hint="eastAsia" w:ascii="仿宋" w:hAnsi="仿宋" w:eastAsia="仿宋" w:cs="仿宋"/>
                <w:kern w:val="0"/>
                <w:sz w:val="24"/>
              </w:rPr>
              <w:t>¥:</w:t>
            </w:r>
          </w:p>
        </w:tc>
      </w:tr>
      <w:tr w14:paraId="079DAFBC">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7B91F8DC">
            <w:pPr>
              <w:widowControl/>
              <w:jc w:val="left"/>
              <w:rPr>
                <w:rFonts w:hint="eastAsia" w:ascii="仿宋" w:hAnsi="仿宋" w:eastAsia="仿宋" w:cs="仿宋"/>
                <w:kern w:val="0"/>
                <w:sz w:val="24"/>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59DA393C">
            <w:pPr>
              <w:widowControl/>
              <w:jc w:val="left"/>
              <w:rPr>
                <w:rFonts w:hint="eastAsia" w:ascii="仿宋" w:hAnsi="仿宋" w:eastAsia="仿宋" w:cs="仿宋"/>
                <w:kern w:val="0"/>
                <w:sz w:val="24"/>
              </w:rPr>
            </w:pPr>
          </w:p>
        </w:tc>
        <w:tc>
          <w:tcPr>
            <w:tcW w:w="1481" w:type="pct"/>
            <w:tcBorders>
              <w:top w:val="nil"/>
              <w:left w:val="nil"/>
              <w:bottom w:val="single" w:color="auto" w:sz="4" w:space="0"/>
              <w:right w:val="single" w:color="auto" w:sz="4" w:space="0"/>
            </w:tcBorders>
            <w:noWrap/>
            <w:vAlign w:val="center"/>
          </w:tcPr>
          <w:p w14:paraId="13DF334E">
            <w:pPr>
              <w:widowControl/>
              <w:jc w:val="center"/>
              <w:rPr>
                <w:rFonts w:hint="eastAsia" w:ascii="仿宋" w:hAnsi="仿宋" w:eastAsia="仿宋" w:cs="仿宋"/>
                <w:kern w:val="0"/>
                <w:sz w:val="24"/>
              </w:rPr>
            </w:pPr>
            <w:r>
              <w:rPr>
                <w:rFonts w:hint="eastAsia" w:ascii="仿宋" w:hAnsi="仿宋" w:eastAsia="仿宋" w:cs="仿宋"/>
                <w:kern w:val="0"/>
                <w:sz w:val="24"/>
              </w:rPr>
              <w:t>验收时间/地点</w:t>
            </w:r>
          </w:p>
        </w:tc>
        <w:tc>
          <w:tcPr>
            <w:tcW w:w="1248" w:type="pct"/>
            <w:tcBorders>
              <w:top w:val="nil"/>
              <w:left w:val="nil"/>
              <w:bottom w:val="single" w:color="auto" w:sz="4" w:space="0"/>
              <w:right w:val="single" w:color="auto" w:sz="8" w:space="0"/>
            </w:tcBorders>
            <w:noWrap/>
            <w:vAlign w:val="center"/>
          </w:tcPr>
          <w:p w14:paraId="0616C55E">
            <w:pPr>
              <w:widowControl/>
              <w:jc w:val="center"/>
              <w:rPr>
                <w:rFonts w:hint="eastAsia" w:ascii="仿宋" w:hAnsi="仿宋" w:eastAsia="仿宋" w:cs="仿宋"/>
                <w:kern w:val="0"/>
                <w:sz w:val="24"/>
              </w:rPr>
            </w:pPr>
            <w:r>
              <w:rPr>
                <w:rFonts w:hint="eastAsia" w:ascii="仿宋" w:hAnsi="仿宋" w:eastAsia="仿宋" w:cs="仿宋"/>
                <w:kern w:val="0"/>
                <w:sz w:val="24"/>
              </w:rPr>
              <w:t>　</w:t>
            </w:r>
          </w:p>
        </w:tc>
      </w:tr>
      <w:tr w14:paraId="398DC581">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3259D779">
            <w:pPr>
              <w:widowControl/>
              <w:jc w:val="center"/>
              <w:rPr>
                <w:rFonts w:hint="eastAsia" w:ascii="仿宋" w:hAnsi="仿宋" w:eastAsia="仿宋" w:cs="仿宋"/>
                <w:kern w:val="0"/>
                <w:sz w:val="24"/>
              </w:rPr>
            </w:pPr>
            <w:r>
              <w:rPr>
                <w:rFonts w:hint="eastAsia" w:ascii="仿宋" w:hAnsi="仿宋" w:eastAsia="仿宋" w:cs="仿宋"/>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64679ACC">
            <w:pPr>
              <w:widowControl/>
              <w:jc w:val="center"/>
              <w:rPr>
                <w:rFonts w:hint="eastAsia" w:ascii="仿宋" w:hAnsi="仿宋" w:eastAsia="仿宋" w:cs="仿宋"/>
                <w:kern w:val="0"/>
                <w:sz w:val="24"/>
              </w:rPr>
            </w:pPr>
            <w:r>
              <w:rPr>
                <w:rFonts w:hint="eastAsia" w:ascii="仿宋" w:hAnsi="仿宋" w:eastAsia="仿宋" w:cs="仿宋"/>
                <w:kern w:val="0"/>
                <w:sz w:val="24"/>
              </w:rPr>
              <w:t>　</w:t>
            </w:r>
          </w:p>
        </w:tc>
      </w:tr>
      <w:tr w14:paraId="1410512C">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13C1F2B4">
            <w:pPr>
              <w:widowControl/>
              <w:jc w:val="center"/>
              <w:rPr>
                <w:rFonts w:hint="eastAsia" w:ascii="仿宋" w:hAnsi="仿宋" w:eastAsia="仿宋" w:cs="仿宋"/>
                <w:kern w:val="0"/>
                <w:sz w:val="24"/>
              </w:rPr>
            </w:pPr>
            <w:r>
              <w:rPr>
                <w:rFonts w:hint="eastAsia" w:ascii="仿宋" w:hAnsi="仿宋" w:eastAsia="仿宋" w:cs="仿宋"/>
                <w:kern w:val="0"/>
                <w:sz w:val="24"/>
              </w:rPr>
              <w:t>开户行</w:t>
            </w:r>
          </w:p>
        </w:tc>
        <w:tc>
          <w:tcPr>
            <w:tcW w:w="1349" w:type="pct"/>
            <w:tcBorders>
              <w:top w:val="nil"/>
              <w:left w:val="nil"/>
              <w:bottom w:val="single" w:color="auto" w:sz="4" w:space="0"/>
              <w:right w:val="single" w:color="auto" w:sz="4" w:space="0"/>
            </w:tcBorders>
            <w:noWrap/>
            <w:vAlign w:val="center"/>
          </w:tcPr>
          <w:p w14:paraId="2AF1C125">
            <w:pPr>
              <w:widowControl/>
              <w:jc w:val="center"/>
              <w:rPr>
                <w:rFonts w:hint="eastAsia" w:ascii="仿宋" w:hAnsi="仿宋" w:eastAsia="仿宋" w:cs="仿宋"/>
                <w:kern w:val="0"/>
                <w:sz w:val="24"/>
              </w:rPr>
            </w:pPr>
            <w:r>
              <w:rPr>
                <w:rFonts w:hint="eastAsia" w:ascii="仿宋" w:hAnsi="仿宋" w:eastAsia="仿宋" w:cs="仿宋"/>
                <w:kern w:val="0"/>
                <w:sz w:val="24"/>
              </w:rPr>
              <w:t>　</w:t>
            </w:r>
          </w:p>
        </w:tc>
        <w:tc>
          <w:tcPr>
            <w:tcW w:w="1481" w:type="pct"/>
            <w:tcBorders>
              <w:top w:val="nil"/>
              <w:left w:val="nil"/>
              <w:bottom w:val="single" w:color="auto" w:sz="4" w:space="0"/>
              <w:right w:val="single" w:color="auto" w:sz="4" w:space="0"/>
            </w:tcBorders>
            <w:noWrap/>
            <w:vAlign w:val="center"/>
          </w:tcPr>
          <w:p w14:paraId="41D7C8F1">
            <w:pPr>
              <w:widowControl/>
              <w:jc w:val="center"/>
              <w:rPr>
                <w:rFonts w:hint="eastAsia" w:ascii="仿宋" w:hAnsi="仿宋" w:eastAsia="仿宋" w:cs="仿宋"/>
                <w:kern w:val="0"/>
                <w:sz w:val="24"/>
              </w:rPr>
            </w:pPr>
            <w:r>
              <w:rPr>
                <w:rFonts w:hint="eastAsia" w:ascii="仿宋" w:hAnsi="仿宋" w:eastAsia="仿宋" w:cs="仿宋"/>
                <w:kern w:val="0"/>
                <w:sz w:val="24"/>
              </w:rPr>
              <w:t>账号</w:t>
            </w:r>
          </w:p>
        </w:tc>
        <w:tc>
          <w:tcPr>
            <w:tcW w:w="1248" w:type="pct"/>
            <w:tcBorders>
              <w:top w:val="nil"/>
              <w:left w:val="nil"/>
              <w:bottom w:val="single" w:color="auto" w:sz="4" w:space="0"/>
              <w:right w:val="single" w:color="auto" w:sz="8" w:space="0"/>
            </w:tcBorders>
            <w:noWrap/>
            <w:vAlign w:val="center"/>
          </w:tcPr>
          <w:p w14:paraId="719397D0">
            <w:pPr>
              <w:widowControl/>
              <w:jc w:val="center"/>
              <w:rPr>
                <w:rFonts w:hint="eastAsia" w:ascii="仿宋" w:hAnsi="仿宋" w:eastAsia="仿宋" w:cs="仿宋"/>
                <w:kern w:val="0"/>
                <w:sz w:val="24"/>
              </w:rPr>
            </w:pPr>
            <w:r>
              <w:rPr>
                <w:rFonts w:hint="eastAsia" w:ascii="仿宋" w:hAnsi="仿宋" w:eastAsia="仿宋" w:cs="仿宋"/>
                <w:kern w:val="0"/>
                <w:sz w:val="24"/>
              </w:rPr>
              <w:t>　</w:t>
            </w:r>
          </w:p>
        </w:tc>
      </w:tr>
      <w:tr w14:paraId="31E4DA65">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49E0CBB2">
            <w:pPr>
              <w:widowControl/>
              <w:jc w:val="center"/>
              <w:rPr>
                <w:rFonts w:hint="eastAsia" w:ascii="仿宋" w:hAnsi="仿宋" w:eastAsia="仿宋" w:cs="仿宋"/>
                <w:kern w:val="0"/>
                <w:sz w:val="24"/>
              </w:rPr>
            </w:pPr>
            <w:r>
              <w:rPr>
                <w:rFonts w:hint="eastAsia" w:ascii="仿宋" w:hAnsi="仿宋" w:eastAsia="仿宋" w:cs="仿宋"/>
                <w:kern w:val="0"/>
                <w:sz w:val="24"/>
              </w:rPr>
              <w:t>联系人</w:t>
            </w:r>
          </w:p>
        </w:tc>
        <w:tc>
          <w:tcPr>
            <w:tcW w:w="1349" w:type="pct"/>
            <w:tcBorders>
              <w:top w:val="nil"/>
              <w:left w:val="nil"/>
              <w:bottom w:val="nil"/>
              <w:right w:val="single" w:color="auto" w:sz="4" w:space="0"/>
            </w:tcBorders>
            <w:noWrap/>
            <w:vAlign w:val="center"/>
          </w:tcPr>
          <w:p w14:paraId="45AC3BE6">
            <w:pPr>
              <w:widowControl/>
              <w:jc w:val="center"/>
              <w:rPr>
                <w:rFonts w:hint="eastAsia" w:ascii="仿宋" w:hAnsi="仿宋" w:eastAsia="仿宋" w:cs="仿宋"/>
                <w:kern w:val="0"/>
                <w:sz w:val="24"/>
              </w:rPr>
            </w:pPr>
            <w:r>
              <w:rPr>
                <w:rFonts w:hint="eastAsia" w:ascii="仿宋" w:hAnsi="仿宋" w:eastAsia="仿宋" w:cs="仿宋"/>
                <w:kern w:val="0"/>
                <w:sz w:val="24"/>
              </w:rPr>
              <w:t>　</w:t>
            </w:r>
          </w:p>
        </w:tc>
        <w:tc>
          <w:tcPr>
            <w:tcW w:w="1481" w:type="pct"/>
            <w:tcBorders>
              <w:top w:val="nil"/>
              <w:left w:val="nil"/>
              <w:bottom w:val="nil"/>
              <w:right w:val="single" w:color="auto" w:sz="4" w:space="0"/>
            </w:tcBorders>
            <w:noWrap/>
            <w:vAlign w:val="center"/>
          </w:tcPr>
          <w:p w14:paraId="4F18B424">
            <w:pPr>
              <w:widowControl/>
              <w:jc w:val="center"/>
              <w:rPr>
                <w:rFonts w:hint="eastAsia" w:ascii="仿宋" w:hAnsi="仿宋" w:eastAsia="仿宋" w:cs="仿宋"/>
                <w:kern w:val="0"/>
                <w:sz w:val="24"/>
              </w:rPr>
            </w:pPr>
            <w:r>
              <w:rPr>
                <w:rFonts w:hint="eastAsia" w:ascii="仿宋" w:hAnsi="仿宋" w:eastAsia="仿宋" w:cs="仿宋"/>
                <w:kern w:val="0"/>
                <w:sz w:val="24"/>
              </w:rPr>
              <w:t>电话</w:t>
            </w:r>
          </w:p>
        </w:tc>
        <w:tc>
          <w:tcPr>
            <w:tcW w:w="1248" w:type="pct"/>
            <w:tcBorders>
              <w:top w:val="nil"/>
              <w:left w:val="nil"/>
              <w:bottom w:val="nil"/>
              <w:right w:val="single" w:color="auto" w:sz="8" w:space="0"/>
            </w:tcBorders>
            <w:noWrap/>
            <w:vAlign w:val="center"/>
          </w:tcPr>
          <w:p w14:paraId="38BAFC98">
            <w:pPr>
              <w:widowControl/>
              <w:jc w:val="center"/>
              <w:rPr>
                <w:rFonts w:hint="eastAsia" w:ascii="仿宋" w:hAnsi="仿宋" w:eastAsia="仿宋" w:cs="仿宋"/>
                <w:kern w:val="0"/>
                <w:sz w:val="24"/>
              </w:rPr>
            </w:pPr>
            <w:r>
              <w:rPr>
                <w:rFonts w:hint="eastAsia" w:ascii="仿宋" w:hAnsi="仿宋" w:eastAsia="仿宋" w:cs="仿宋"/>
                <w:kern w:val="0"/>
                <w:sz w:val="24"/>
              </w:rPr>
              <w:t>　</w:t>
            </w:r>
          </w:p>
        </w:tc>
      </w:tr>
      <w:tr w14:paraId="1C0F2762">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56D9F2C3">
            <w:pPr>
              <w:widowControl/>
              <w:jc w:val="left"/>
              <w:rPr>
                <w:rFonts w:hint="eastAsia" w:ascii="仿宋" w:hAnsi="仿宋" w:eastAsia="仿宋" w:cs="仿宋"/>
                <w:kern w:val="0"/>
                <w:sz w:val="24"/>
              </w:rPr>
            </w:pPr>
            <w:r>
              <w:rPr>
                <w:rFonts w:hint="eastAsia" w:ascii="仿宋" w:hAnsi="仿宋" w:eastAsia="仿宋" w:cs="仿宋"/>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503BE08E">
            <w:pPr>
              <w:widowControl/>
              <w:jc w:val="left"/>
              <w:rPr>
                <w:rFonts w:hint="eastAsia" w:ascii="仿宋" w:hAnsi="仿宋" w:eastAsia="仿宋" w:cs="仿宋"/>
                <w:kern w:val="0"/>
                <w:sz w:val="24"/>
              </w:rPr>
            </w:pPr>
            <w:r>
              <w:rPr>
                <w:rFonts w:hint="eastAsia" w:ascii="仿宋" w:hAnsi="仿宋" w:eastAsia="仿宋" w:cs="仿宋"/>
                <w:kern w:val="0"/>
                <w:sz w:val="24"/>
              </w:rPr>
              <w:t xml:space="preserve">   使用单位验收意见：（盖章）</w:t>
            </w:r>
          </w:p>
          <w:p w14:paraId="4D99E589">
            <w:pPr>
              <w:rPr>
                <w:rFonts w:hint="eastAsia" w:ascii="仿宋" w:hAnsi="仿宋" w:eastAsia="仿宋" w:cs="仿宋"/>
                <w:sz w:val="24"/>
              </w:rPr>
            </w:pPr>
          </w:p>
        </w:tc>
      </w:tr>
      <w:tr w14:paraId="550B2B5E">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1185163D">
            <w:pPr>
              <w:widowControl/>
              <w:jc w:val="center"/>
              <w:rPr>
                <w:rFonts w:hint="eastAsia" w:ascii="仿宋" w:hAnsi="仿宋" w:eastAsia="仿宋" w:cs="仿宋"/>
                <w:kern w:val="0"/>
                <w:sz w:val="24"/>
              </w:rPr>
            </w:pPr>
            <w:r>
              <w:rPr>
                <w:rFonts w:hint="eastAsia" w:ascii="仿宋" w:hAnsi="仿宋" w:eastAsia="仿宋" w:cs="仿宋"/>
                <w:kern w:val="0"/>
                <w:sz w:val="24"/>
              </w:rPr>
              <w:t xml:space="preserve"> 签字：</w:t>
            </w:r>
          </w:p>
        </w:tc>
        <w:tc>
          <w:tcPr>
            <w:tcW w:w="1349" w:type="pct"/>
            <w:tcBorders>
              <w:top w:val="nil"/>
              <w:left w:val="nil"/>
              <w:bottom w:val="nil"/>
              <w:right w:val="nil"/>
            </w:tcBorders>
            <w:noWrap/>
            <w:vAlign w:val="center"/>
          </w:tcPr>
          <w:p w14:paraId="74756C06">
            <w:pPr>
              <w:widowControl/>
              <w:jc w:val="center"/>
              <w:rPr>
                <w:rFonts w:hint="eastAsia" w:ascii="仿宋" w:hAnsi="仿宋" w:eastAsia="仿宋" w:cs="仿宋"/>
                <w:kern w:val="0"/>
                <w:sz w:val="24"/>
              </w:rPr>
            </w:pPr>
          </w:p>
        </w:tc>
        <w:tc>
          <w:tcPr>
            <w:tcW w:w="1481" w:type="pct"/>
            <w:tcBorders>
              <w:top w:val="nil"/>
              <w:left w:val="single" w:color="auto" w:sz="4" w:space="0"/>
              <w:bottom w:val="nil"/>
              <w:right w:val="nil"/>
            </w:tcBorders>
            <w:noWrap/>
            <w:vAlign w:val="center"/>
          </w:tcPr>
          <w:p w14:paraId="7F056619">
            <w:pPr>
              <w:widowControl/>
              <w:jc w:val="center"/>
              <w:rPr>
                <w:rFonts w:hint="eastAsia" w:ascii="仿宋" w:hAnsi="仿宋" w:eastAsia="仿宋" w:cs="仿宋"/>
                <w:kern w:val="0"/>
                <w:sz w:val="24"/>
              </w:rPr>
            </w:pPr>
            <w:r>
              <w:rPr>
                <w:rFonts w:hint="eastAsia" w:ascii="仿宋" w:hAnsi="仿宋" w:eastAsia="仿宋" w:cs="仿宋"/>
                <w:kern w:val="0"/>
                <w:sz w:val="24"/>
              </w:rPr>
              <w:t>签字：</w:t>
            </w:r>
          </w:p>
        </w:tc>
        <w:tc>
          <w:tcPr>
            <w:tcW w:w="1248" w:type="pct"/>
            <w:tcBorders>
              <w:top w:val="nil"/>
              <w:left w:val="nil"/>
              <w:bottom w:val="nil"/>
              <w:right w:val="single" w:color="auto" w:sz="8" w:space="0"/>
            </w:tcBorders>
            <w:noWrap w:val="0"/>
            <w:vAlign w:val="top"/>
          </w:tcPr>
          <w:p w14:paraId="6774C6ED">
            <w:pPr>
              <w:widowControl/>
              <w:jc w:val="left"/>
              <w:rPr>
                <w:rFonts w:hint="eastAsia" w:ascii="仿宋" w:hAnsi="仿宋" w:eastAsia="仿宋" w:cs="仿宋"/>
                <w:kern w:val="0"/>
                <w:sz w:val="24"/>
              </w:rPr>
            </w:pPr>
            <w:r>
              <w:rPr>
                <w:rFonts w:hint="eastAsia" w:ascii="仿宋" w:hAnsi="仿宋" w:eastAsia="仿宋" w:cs="仿宋"/>
                <w:kern w:val="0"/>
                <w:sz w:val="24"/>
              </w:rPr>
              <w:t>　</w:t>
            </w:r>
          </w:p>
        </w:tc>
      </w:tr>
      <w:tr w14:paraId="59FA37F0">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10E28D80">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349" w:type="pct"/>
            <w:tcBorders>
              <w:top w:val="nil"/>
              <w:left w:val="nil"/>
              <w:bottom w:val="single" w:color="auto" w:sz="4" w:space="0"/>
              <w:right w:val="nil"/>
            </w:tcBorders>
            <w:noWrap w:val="0"/>
            <w:vAlign w:val="bottom"/>
          </w:tcPr>
          <w:p w14:paraId="60DDA72E">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年     月   日</w:t>
            </w:r>
          </w:p>
        </w:tc>
        <w:tc>
          <w:tcPr>
            <w:tcW w:w="1481" w:type="pct"/>
            <w:tcBorders>
              <w:top w:val="nil"/>
              <w:left w:val="single" w:color="auto" w:sz="4" w:space="0"/>
              <w:bottom w:val="single" w:color="auto" w:sz="4" w:space="0"/>
              <w:right w:val="nil"/>
            </w:tcBorders>
            <w:noWrap/>
            <w:vAlign w:val="center"/>
          </w:tcPr>
          <w:p w14:paraId="350DC40A">
            <w:pPr>
              <w:widowControl/>
              <w:jc w:val="left"/>
              <w:rPr>
                <w:rFonts w:hint="eastAsia" w:ascii="仿宋" w:hAnsi="仿宋" w:eastAsia="仿宋" w:cs="仿宋"/>
                <w:kern w:val="0"/>
                <w:sz w:val="22"/>
                <w:szCs w:val="22"/>
              </w:rPr>
            </w:pPr>
            <w:r>
              <w:rPr>
                <w:rFonts w:hint="eastAsia" w:ascii="仿宋" w:hAnsi="仿宋" w:eastAsia="仿宋" w:cs="仿宋"/>
                <w:kern w:val="0"/>
                <w:sz w:val="22"/>
                <w:szCs w:val="22"/>
              </w:rPr>
              <w:t>　</w:t>
            </w:r>
          </w:p>
        </w:tc>
        <w:tc>
          <w:tcPr>
            <w:tcW w:w="1248" w:type="pct"/>
            <w:tcBorders>
              <w:top w:val="nil"/>
              <w:left w:val="nil"/>
              <w:bottom w:val="single" w:color="auto" w:sz="4" w:space="0"/>
              <w:right w:val="single" w:color="auto" w:sz="8" w:space="0"/>
            </w:tcBorders>
            <w:noWrap w:val="0"/>
            <w:vAlign w:val="bottom"/>
          </w:tcPr>
          <w:p w14:paraId="3D283F3E">
            <w:pPr>
              <w:widowControl/>
              <w:jc w:val="right"/>
              <w:rPr>
                <w:rFonts w:hint="eastAsia" w:ascii="仿宋" w:hAnsi="仿宋" w:eastAsia="仿宋" w:cs="仿宋"/>
                <w:kern w:val="0"/>
                <w:sz w:val="22"/>
                <w:szCs w:val="22"/>
              </w:rPr>
            </w:pPr>
            <w:r>
              <w:rPr>
                <w:rFonts w:hint="eastAsia" w:ascii="仿宋" w:hAnsi="仿宋" w:eastAsia="仿宋" w:cs="仿宋"/>
                <w:kern w:val="0"/>
                <w:sz w:val="22"/>
                <w:szCs w:val="22"/>
              </w:rPr>
              <w:t>年   月   日</w:t>
            </w:r>
          </w:p>
        </w:tc>
      </w:tr>
      <w:tr w14:paraId="2CDB51B6">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6390C696">
            <w:pPr>
              <w:widowControl/>
              <w:jc w:val="center"/>
              <w:rPr>
                <w:rFonts w:hint="eastAsia" w:ascii="仿宋" w:hAnsi="仿宋" w:eastAsia="仿宋" w:cs="仿宋"/>
                <w:kern w:val="0"/>
                <w:sz w:val="22"/>
                <w:szCs w:val="22"/>
              </w:rPr>
            </w:pPr>
            <w:r>
              <w:rPr>
                <w:rFonts w:hint="eastAsia" w:ascii="仿宋" w:hAnsi="仿宋" w:eastAsia="仿宋" w:cs="仿宋"/>
                <w:kern w:val="0"/>
                <w:sz w:val="22"/>
                <w:szCs w:val="22"/>
              </w:rPr>
              <w:t>采购内容</w:t>
            </w:r>
          </w:p>
        </w:tc>
      </w:tr>
      <w:tr w14:paraId="5ABC8280">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4838B851">
            <w:pPr>
              <w:widowControl/>
              <w:jc w:val="left"/>
              <w:rPr>
                <w:rFonts w:hint="eastAsia" w:ascii="仿宋" w:hAnsi="仿宋" w:eastAsia="仿宋" w:cs="仿宋"/>
                <w:kern w:val="0"/>
                <w:sz w:val="28"/>
                <w:szCs w:val="28"/>
              </w:rPr>
            </w:pPr>
            <w:r>
              <w:rPr>
                <w:rFonts w:hint="eastAsia" w:ascii="仿宋" w:hAnsi="仿宋" w:eastAsia="仿宋" w:cs="仿宋"/>
                <w:kern w:val="0"/>
                <w:sz w:val="24"/>
              </w:rPr>
              <w:t>采购内容请列明品目、规格、型号、数量、单价、总价</w:t>
            </w:r>
          </w:p>
        </w:tc>
      </w:tr>
    </w:tbl>
    <w:p w14:paraId="446B409D">
      <w:pPr>
        <w:rPr>
          <w:rFonts w:hint="eastAsia" w:ascii="仿宋" w:hAnsi="仿宋" w:eastAsia="仿宋" w:cs="仿宋"/>
        </w:rPr>
      </w:pPr>
    </w:p>
    <w:p w14:paraId="7BBC694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B71706"/>
    <w:rsid w:val="6C8F4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1"/>
    <w:qFormat/>
    <w:uiPriority w:val="0"/>
    <w:pPr>
      <w:tabs>
        <w:tab w:val="left" w:pos="567"/>
      </w:tabs>
      <w:spacing w:before="120" w:line="22" w:lineRule="atLeast"/>
    </w:pPr>
    <w:rPr>
      <w:rFonts w:ascii="宋体" w:hAnsi="宋体"/>
      <w:sz w:val="24"/>
    </w:rPr>
  </w:style>
  <w:style w:type="character" w:customStyle="1" w:styleId="7">
    <w:name w:val="标题 1 字符"/>
    <w:link w:val="3"/>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1529</Words>
  <Characters>1548</Characters>
  <Lines>0</Lines>
  <Paragraphs>0</Paragraphs>
  <TotalTime>3</TotalTime>
  <ScaleCrop>false</ScaleCrop>
  <LinksUpToDate>false</LinksUpToDate>
  <CharactersWithSpaces>1653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2025-12-15T07:57:00Z</dcterms:created>
  <dc:creator>admin</dc:creator>
  <cp:lastModifiedBy>鑫源硕</cp:lastModifiedBy>
  <dcterms:modified xsi:type="dcterms:W3CDTF">2025-12-18T02:15:25Z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eyJoZGlkIjoiODBmNzlkOGRkZTJkZjkwYzgwZWE5MmI3NTg5OTM1YTQiLCJ1c2VySWQiOiIxNDczODM3OTgwIn0=</vt:lpwstr>
  </property>
  <property fmtid="{D5CDD505-2E9C-101B-9397-08002B2CF9AE}" pid="4" name="ICV">
    <vt:lpwstr>69F20896AA214A9285F0835D56EDCE22_12</vt:lpwstr>
  </property>
</Properties>
</file>