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版本号：JQ-ZFCG-120220251219001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富平县下庙村巷道硬化及排水改造项目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JQ-ZFCG-1202</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富平县下庙村巷道硬化及排水改造项目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JQ-ZFCG-1202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富平县下庙村巷道硬化及排水改造项目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建设内容包括拆除混凝土排水渠624m,拆除门前混凝土300㎡,DN200HDPE双壁波纹管44m,DN300HDPE双壁波纹管617m,DN400HDPE双壁波纹管200m,砖砌雨水口44座，砖砌雨水检查井18座，水泥混凝土路面774㎡，加宽水泥混凝土669㎡，垃圾外运1050m³，外购黄土1050m³，拆除门前240砖花墙66.82m³，PE50给水管755m，PE50给水管48m，圆形砖砌给水阀门井6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采购包1（富平县下庙村巷道硬化及排水改造项目）：属于专门面向中小企业采购。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报告：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7、税收缴纳证明：须提供依法缴纳税收的良好记录（提供投标截止时间前六个月内任意一个月份的缴纳凭据复印件并加盖单位公章，依法免税或开标前一年内零申报的供应商应提供相关证明文件）；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8、社保缴纳证明：须提供依法缴纳社会保障资金的良好记录（提供投标截止时间前六个月内任意一个月份的缴纳凭据复印件并加盖单位公章）；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附网站相关截图并加盖单位公章；</w:t>
      </w:r>
    </w:p>
    <w:p>
      <w:pPr>
        <w:pStyle w:val="null3"/>
      </w:pPr>
      <w:r>
        <w:rPr>
          <w:rFonts w:ascii="仿宋_GB2312" w:hAnsi="仿宋_GB2312" w:cs="仿宋_GB2312" w:eastAsia="仿宋_GB2312"/>
        </w:rPr>
        <w:t>10、书面声明1：提供近三年内在经营活动中无重大违法记录的书面声明；</w:t>
      </w:r>
    </w:p>
    <w:p>
      <w:pPr>
        <w:pStyle w:val="null3"/>
      </w:pPr>
      <w:r>
        <w:rPr>
          <w:rFonts w:ascii="仿宋_GB2312" w:hAnsi="仿宋_GB2312" w:cs="仿宋_GB2312" w:eastAsia="仿宋_GB2312"/>
        </w:rPr>
        <w:t>11、保证金转账凭证或保函复印件：提供磋商保证金银行转账凭证及基本账户信息证明资料复印件或金融机构、担保机构出具的保函复印件，复印件均须加盖公章；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12、书面声明2：提供单位负责人为同一人或者存在直接控股、管理关系的不同供应商，不得参加同一合同项下的政府采购活动的书面声明；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陕西省渭南市富平县东上官街道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田广辉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19929215626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1,177,214.04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富平县下庙村巷道硬化及排水改造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标的名称：富平县下庙村巷道硬化及排水改造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建设内容：拆除混凝土排水渠624m,拆除门前混凝土300㎡,DN200HDPE双壁波纹管44m,DN300HDPE双壁波纹管617m,DN400HDPE双壁波纹管200m,砖砌雨水口44座，砖砌雨水检查井18座，水泥混凝土路面774㎡，加宽水泥混凝土669㎡，垃圾外运1050m³，外购黄土1050m³，拆除门前240砖花墙66.82m³，PE50给水管755m，PE50给水管48m，圆形砖砌给水阀门井6座。（详见工程量清单）。</w:t>
            </w:r>
          </w:p>
          <w:p>
            <w:pPr>
              <w:pStyle w:val="null3"/>
            </w:pPr>
            <w:r>
              <w:rPr>
                <w:rFonts w:ascii="仿宋_GB2312" w:hAnsi="仿宋_GB2312" w:cs="仿宋_GB2312" w:eastAsia="仿宋_GB2312"/>
                <w:sz w:val="24"/>
              </w:rPr>
              <w:t>2、工程质量：合格</w:t>
            </w:r>
          </w:p>
          <w:p>
            <w:pPr>
              <w:pStyle w:val="null3"/>
            </w:pPr>
            <w:r>
              <w:rPr>
                <w:rFonts w:ascii="仿宋_GB2312" w:hAnsi="仿宋_GB2312" w:cs="仿宋_GB2312" w:eastAsia="仿宋_GB2312"/>
                <w:sz w:val="24"/>
              </w:rPr>
              <w:t>3、工期：合同签订之日起60日历天内竣工并交付验收</w:t>
            </w:r>
          </w:p>
          <w:p>
            <w:pPr>
              <w:pStyle w:val="null3"/>
            </w:pPr>
            <w:r>
              <w:rPr>
                <w:rFonts w:ascii="仿宋_GB2312" w:hAnsi="仿宋_GB2312" w:cs="仿宋_GB2312" w:eastAsia="仿宋_GB2312"/>
                <w:sz w:val="24"/>
              </w:rPr>
              <w:t>4、付款方式：合同签订后，支付合同总价30%作为预付款；在施工过程中，可按工程进度支付相应阶段的工程款；工程竣工验收合格后，付至合同总价款的80%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供应商应提交的相关资格证明材料 技术服务合同条款及其他商务要求应答表 强制优先采购产品承诺函 响应文件封面 项目管理机构组成表 其他应说明的事项.docx 残疾人福利性单位声明函 报价函 标的清单 资格证明材料.docx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资格证明材料.docx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须提供2023年或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附网站相关截图并加盖单位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保证金转账凭证或保函复印件</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①质量管理目标②管理机构职责分工③质量管理制度④质量保证措施。方案全面 、有效的计8 分 ，方案不完善或有缺陷（不完善或有缺陷是指：方案粗略 、逻辑混乱 、描述过于简单 、与项目特点不匹配 、凭空编造、逻辑漏洞、出现常识性错误 、套用其他项目方案、存在不可能实现的夸大情形 、存在不适用项目实际情况的情形） 每项扣1分 ，方案缺漏项或只有标题没有实质性内容的每项扣2分，扣完为止。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①安全管理目标②安全管理机构职责分工③安全管理制度④安全保证措施 。方案全面 、有效的计8 分 ，方案不完善或有缺陷（不完善或有缺陷是指：方案粗略 、逻辑混乱 、描述过于简单 、 与项目特点 不匹配 、 凭空编造 、逻辑漏洞 、 出现常识性错误 、 套用其他项目方案 、存在不可能实现的夸大情形 、 存在不适用项 目实际情况的情形） 每项扣1 分 ，方 案缺漏项或只有标题没有实质性内容的每项扣 2分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①环境保护管理目标②环境保护管理机构 职责分工③环境保护管理制度④环境保护保证措 施 。方案合理完整的计 8 分 ，方案不完善或有缺陷 （不完善或有缺陷是指： 方案粗略 、逻辑混乱 、描 述过于简单 、与项 目特点不匹配 、凭空编造 、逻辑 漏洞 、 出现常识性错误 、套用其他项 目方案 、存在不可能实现的夸大情形 、存在不适用项 目实际情况 的情形） 每项扣1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①总工期及节点工期安排②施工进度计划安排③进度保证措施 ④资源保障与优化配置。方案合理完整的计 8分 ，方案不完善或有缺陷（不完善或有缺陷是指：方案粗略、逻辑混乱、描述过于简单 、与项 目特点不匹配、 凭空编造 、逻辑漏洞 、 出现常识性错误 、套用其他项 目方案 、存在不可能实现的夸大情形 、存在不适 用项 目实际情况的情形） 每项扣 1 分 ，方案缺漏项或只有标题没有实质性内容的每项扣 2 分 ，扣完为止。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①对项 目总体概况表述②施工部署及措施③对项 目主要及关键方案的表述④施工平面布置 。方案合理完善的计12分 ，方案不完善或有缺陷（不完善 或有缺陷是指： 方案粗略 、逻辑混乱 、描述过于简 单 、与项 目特点不匹配 、 凭空编造 、逻辑漏洞 、 出现常识性错误 、套用其他项目方案 、存在不可能实现的夸大情形 、存在不适用项 目实际情况的情形） 每项扣1 分 ，方案缺漏项或只有标题没有实质性内容的每项扣3分 ， 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 目制定资源配备计划包含： ①劳动力计划②主要材料供应计划③施工机械设备配备计划。方案合理完整的计 6 分 ， 方案不完善或有缺陷 （不完善或有缺陷是指： 方案粗略 、逻辑混乱 、描 述过于简单 、与项 目特点不匹配 、 凭空编造 、逻辑 漏洞 、 出现常识性错误 、套用其他项 目方案 、存在 不可能实现的夸大情形 、存在不适用项 目实际情况 的情形） 每项扣 1 分 ，方案缺漏项或只有标题没有 实质性内容的每项扣 2 分 ， 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①施工过程 中的相关承诺②投入材料质量承诺③质量保修期服务承诺④服务响应时间 。服务承诺合理 、可行的计 4 分 ，方案不完善或有缺陷（不完善或有缺陷是 指 ：方案粗略 、逻辑混乱 、描述过于简单 、与项 目 特点不匹配 、 凭空编造 、逻辑漏洞 、 出现常识性错 误 、套用其他项 目方案 、存在不可能实现的夸大情 形 、存在不适用项 目实际情况的情形） 每项扣 0.5 分 ，方案缺漏项或只有标题没有实质性内容的每项扣 1 分 ， 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近三年完成的类似业绩一项得2分，最多得6分（提供2022年6月1日至今类似工程；投标文件中须附类似工程业绩中标通知书或合同协议书或竣工验收证明材料复印件或扫描件，并加盖公章）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①评标基准价的确定：经对各供应商资格审查合格后，将有效投标价格最低的作为评标基准价，此项得满分；投标报价大于最高限价的，为无效报价，应作为无效标处理；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