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版本号：ZZT-CG-2025121920251219001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北里安置区AB区周边道路硬化及停车位项目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ZZT-CG-20251219</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北里安置区AB区周边道路硬化及停车位项目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ZZT-CG-20251219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北里安置区AB区周边道路硬化及停车位项目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车行通道2279㎡、门前铺装1594㎡、停车位1815㎡、绿化工程662㎡、附属工程440m等。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采购包1（北里安置区AB区周边道路硬化及停车位项目）：属于专门面向中小企业采购。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2、资质证书：需具有建设行政主管部门核发的市政公用工程施工总承包三级及以上资质</w:t>
      </w:r>
    </w:p>
    <w:p>
      <w:pPr>
        <w:pStyle w:val="null3"/>
      </w:pPr>
      <w:r>
        <w:rPr>
          <w:rFonts w:ascii="仿宋_GB2312" w:hAnsi="仿宋_GB2312" w:cs="仿宋_GB2312" w:eastAsia="仿宋_GB2312"/>
        </w:rPr>
        <w:t>3、安全生产许可证：须具有建设行政主管部门核发有效的安全生产许可证</w:t>
      </w:r>
    </w:p>
    <w:p>
      <w:pPr>
        <w:pStyle w:val="null3"/>
      </w:pPr>
      <w:r>
        <w:rPr>
          <w:rFonts w:ascii="仿宋_GB2312" w:hAnsi="仿宋_GB2312" w:cs="仿宋_GB2312" w:eastAsia="仿宋_GB2312"/>
        </w:rPr>
        <w:t>4、项目经理：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5、财务报告：须提供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6、税收的良好记录：须提供依法缴纳税收的良好记录（提供投标截止时间前六个月内任意一个月份的缴纳凭据复印件并加盖单位公章，依法免税或开标前一年内零申报的供应商应提供相关证明文件）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7、社会保障资金的良好记录：须提供依法缴纳社会保障资金的良好记录（提供投标截止时间前六个月内任意一个月份的缴纳凭据复印件并加盖单位公章）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8、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9、书面声明：提供近三年内在经营活动中无重大违法记录的书面声明</w:t>
      </w:r>
    </w:p>
    <w:p>
      <w:pPr>
        <w:pStyle w:val="null3"/>
      </w:pPr>
      <w:r>
        <w:rPr>
          <w:rFonts w:ascii="仿宋_GB2312" w:hAnsi="仿宋_GB2312" w:cs="仿宋_GB2312" w:eastAsia="仿宋_GB2312"/>
        </w:rPr>
        <w:t>10、保证金转账凭证或保函复印件：提供磋商保证金银行转账凭证及基本账户信息证明资料复印件或金融机构、担保机构出具的保函复印件，复印件均须加盖公章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11、书面声明：提供单位负责人为同一人或者存在直接控股、管理关系的不同供应商，不得参加同一合同项下的政府采购活动的书面声明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12、履行本合同所必需的设备和专业技术能力的说明及承诺：提供具有履行本合同所必需的设备和专业技术能力的说明及承诺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富平县人民政府东华街道办事处（本级）经办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13572389556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18392944018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联系电话：18392944018</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1,689,000.00</w:t>
      </w:r>
    </w:p>
    <w:p>
      <w:pPr>
        <w:pStyle w:val="null3"/>
      </w:pPr>
      <w:r>
        <w:rPr>
          <w:rFonts w:ascii="仿宋_GB2312" w:hAnsi="仿宋_GB2312" w:cs="仿宋_GB2312" w:eastAsia="仿宋_GB2312"/>
        </w:rPr>
        <w:t>采购包最高限价（元）: 1,592,964.30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北里安置区AB区周边道路硬化及停车位项目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标的名称：北里安置区AB区周边道路硬化及停车位项目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建设内容：</w:t>
            </w:r>
            <w:r>
              <w:rPr>
                <w:rFonts w:ascii="仿宋_GB2312" w:hAnsi="仿宋_GB2312" w:cs="仿宋_GB2312" w:eastAsia="仿宋_GB2312"/>
                <w:sz w:val="21"/>
              </w:rPr>
              <w:t>车行通道</w:t>
            </w:r>
            <w:r>
              <w:rPr>
                <w:rFonts w:ascii="仿宋_GB2312" w:hAnsi="仿宋_GB2312" w:cs="仿宋_GB2312" w:eastAsia="仿宋_GB2312"/>
                <w:sz w:val="21"/>
              </w:rPr>
              <w:t>2279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门前铺装</w:t>
            </w:r>
            <w:r>
              <w:rPr>
                <w:rFonts w:ascii="仿宋_GB2312" w:hAnsi="仿宋_GB2312" w:cs="仿宋_GB2312" w:eastAsia="仿宋_GB2312"/>
                <w:sz w:val="21"/>
              </w:rPr>
              <w:t>1594</w:t>
            </w:r>
            <w:r>
              <w:rPr>
                <w:rFonts w:ascii="仿宋_GB2312" w:hAnsi="仿宋_GB2312" w:cs="仿宋_GB2312" w:eastAsia="仿宋_GB2312"/>
                <w:sz w:val="21"/>
              </w:rPr>
              <w:t>㎡、停车位</w:t>
            </w:r>
            <w:r>
              <w:rPr>
                <w:rFonts w:ascii="仿宋_GB2312" w:hAnsi="仿宋_GB2312" w:cs="仿宋_GB2312" w:eastAsia="仿宋_GB2312"/>
                <w:sz w:val="21"/>
              </w:rPr>
              <w:t>1815</w:t>
            </w:r>
            <w:r>
              <w:rPr>
                <w:rFonts w:ascii="仿宋_GB2312" w:hAnsi="仿宋_GB2312" w:cs="仿宋_GB2312" w:eastAsia="仿宋_GB2312"/>
                <w:sz w:val="21"/>
              </w:rPr>
              <w:t>㎡、绿化工程</w:t>
            </w:r>
            <w:r>
              <w:rPr>
                <w:rFonts w:ascii="仿宋_GB2312" w:hAnsi="仿宋_GB2312" w:cs="仿宋_GB2312" w:eastAsia="仿宋_GB2312"/>
                <w:sz w:val="21"/>
              </w:rPr>
              <w:t>662</w:t>
            </w:r>
            <w:r>
              <w:rPr>
                <w:rFonts w:ascii="仿宋_GB2312" w:hAnsi="仿宋_GB2312" w:cs="仿宋_GB2312" w:eastAsia="仿宋_GB2312"/>
                <w:sz w:val="21"/>
              </w:rPr>
              <w:t>㎡、附属工程</w:t>
            </w:r>
            <w:r>
              <w:rPr>
                <w:rFonts w:ascii="仿宋_GB2312" w:hAnsi="仿宋_GB2312" w:cs="仿宋_GB2312" w:eastAsia="仿宋_GB2312"/>
                <w:sz w:val="21"/>
              </w:rPr>
              <w:t>440m</w:t>
            </w:r>
            <w:r>
              <w:rPr>
                <w:rFonts w:ascii="仿宋_GB2312" w:hAnsi="仿宋_GB2312" w:cs="仿宋_GB2312" w:eastAsia="仿宋_GB2312"/>
                <w:sz w:val="21"/>
              </w:rPr>
              <w:t>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工期：120日历天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工程质量：符合国家现行规范规定要求，达到合格标准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付款方式：合同签订后，支付合同总价</w:t>
            </w:r>
            <w:r>
              <w:rPr>
                <w:rFonts w:ascii="仿宋_GB2312" w:hAnsi="仿宋_GB2312" w:cs="仿宋_GB2312" w:eastAsia="仿宋_GB2312"/>
                <w:sz w:val="16"/>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其他应说明的事项.docx 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标的清单 资格证明材料.docx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其他应说明的事项.docx 供应商应提交的相关资格证明材料 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 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