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版本号：HSZ2025—CGZB—05220251204001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富平县公安局2025自定装备采购项目（一）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HSZ2025—CGZB—052</w:t>
      </w:r>
      <w:r>
        <w:br/>
      </w:r>
      <w:r>
        <w:br/>
      </w:r>
      <w:r>
        <w:br/>
      </w:r>
    </w:p>
    <w:p>
      <w:pPr>
        <w:pStyle w:val="null3"/>
        <w:jc w:val="center"/>
        <w:outlineLvl w:val="2"/>
      </w:pPr>
      <w:r>
        <w:rPr>
          <w:rFonts w:ascii="仿宋_GB2312" w:hAnsi="仿宋_GB2312" w:cs="仿宋_GB2312" w:eastAsia="仿宋_GB2312"/>
          <w:sz w:val="28"/>
          <w:b/>
        </w:rPr>
        <w:t>富平县公安局（本级）</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富平县公安局（本级）</w:t>
      </w:r>
      <w:r>
        <w:rPr>
          <w:rFonts w:ascii="仿宋_GB2312" w:hAnsi="仿宋_GB2312" w:cs="仿宋_GB2312" w:eastAsia="仿宋_GB2312"/>
        </w:rPr>
        <w:t>委托，拟对</w:t>
      </w:r>
      <w:r>
        <w:rPr>
          <w:rFonts w:ascii="仿宋_GB2312" w:hAnsi="仿宋_GB2312" w:cs="仿宋_GB2312" w:eastAsia="仿宋_GB2312"/>
        </w:rPr>
        <w:t>富平县公安局2025自定装备采购项目（一）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HSZ2025—CGZB—052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富平县公安局2025自定装备采购项目（一）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采购全套作战服、冬季作战服、安全U盘等自定装备。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要求：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授权委托要求：被授权人参加投标只须提供法定代表人授权委托书（附法定代表人、被授权人身份证复印件或扫描件）；法定代表人参加投标只须提供法定代表人身份证明（附法定代表人身份证复印件或扫描件）；</w:t>
      </w:r>
    </w:p>
    <w:p>
      <w:pPr>
        <w:pStyle w:val="null3"/>
      </w:pPr>
      <w:r>
        <w:rPr>
          <w:rFonts w:ascii="仿宋_GB2312" w:hAnsi="仿宋_GB2312" w:cs="仿宋_GB2312" w:eastAsia="仿宋_GB2312"/>
        </w:rPr>
        <w:t>3、财务状况要求：提供2024年度经审计的财务报告（成立时间至提交投标文件截止时间不足一年的可提供成立后任意时段的财务报表）或开标前近三个月内基本开户银行开具的资信证明；</w:t>
      </w:r>
    </w:p>
    <w:p>
      <w:pPr>
        <w:pStyle w:val="null3"/>
      </w:pPr>
      <w:r>
        <w:rPr>
          <w:rFonts w:ascii="仿宋_GB2312" w:hAnsi="仿宋_GB2312" w:cs="仿宋_GB2312" w:eastAsia="仿宋_GB2312"/>
        </w:rPr>
        <w:t>4、缴纳税收的要求：提供依法缴纳税收的良好记录（提供投标截止时间前六个月内任意一个月份的缴纳凭据复印件或扫描件并加盖单位公章。依法免税或开标前一年内零申报的投标人应提供相关证明文件）；</w:t>
      </w:r>
    </w:p>
    <w:p>
      <w:pPr>
        <w:pStyle w:val="null3"/>
      </w:pPr>
      <w:r>
        <w:rPr>
          <w:rFonts w:ascii="仿宋_GB2312" w:hAnsi="仿宋_GB2312" w:cs="仿宋_GB2312" w:eastAsia="仿宋_GB2312"/>
        </w:rPr>
        <w:t>5、缴纳社会保障资金的要求：提供依法缴纳社会保障资金的良好记录（提供投标截止时间前六个月内任意一个月份的缴纳凭据复印件或扫描件并加盖单位公章。依法不需要缴纳社会保障资金的投标人应提供相关证明文件）；</w:t>
      </w:r>
    </w:p>
    <w:p>
      <w:pPr>
        <w:pStyle w:val="null3"/>
      </w:pPr>
      <w:r>
        <w:rPr>
          <w:rFonts w:ascii="仿宋_GB2312" w:hAnsi="仿宋_GB2312" w:cs="仿宋_GB2312" w:eastAsia="仿宋_GB2312"/>
        </w:rPr>
        <w:t>6、信誉要求：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7、无重大违法记录的要求：提供近三年内在经营活动中无重大违法记录的书面声明；</w:t>
      </w:r>
    </w:p>
    <w:p>
      <w:pPr>
        <w:pStyle w:val="null3"/>
      </w:pPr>
      <w:r>
        <w:rPr>
          <w:rFonts w:ascii="仿宋_GB2312" w:hAnsi="仿宋_GB2312" w:cs="仿宋_GB2312" w:eastAsia="仿宋_GB2312"/>
        </w:rPr>
        <w:t>8、投标保证金要求：提供投标保证金银行转账凭证及基本账户信息复印件（或扫描件）或金融机构、担保机构出具的保函复印件（或扫描件），复印件（或扫描件）均须加盖公章；</w:t>
      </w:r>
    </w:p>
    <w:p>
      <w:pPr>
        <w:pStyle w:val="null3"/>
      </w:pPr>
      <w:r>
        <w:rPr>
          <w:rFonts w:ascii="仿宋_GB2312" w:hAnsi="仿宋_GB2312" w:cs="仿宋_GB2312" w:eastAsia="仿宋_GB2312"/>
        </w:rPr>
        <w:t>9、单位负责人为同一人或者存在直接控股、管理关系的不同投标人，不得参加同一合同项下的政府采购活动的要求：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10、具有履行合同所必需的设备和专业技术能力的要求：提供具有履行本合同所必需的设备和专业技术能力的说明及承诺；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招标代理服务收费管理暂行办法》的通知（计价格〔2002〕1980号）计算，按照《国家发展改革委办公厅关于招标代理服务收费有关问题的通知》（发改办价格〔2003〕857号）规定向中标人收取。 若本次招标失败（非代理机构原因），代理服务费由采购人支付。具体金额以代理公司开具的税票为准，中标人在领取中标（成交）通知书时向采购代理机构一次性支付；费用以转账、电汇或现金等形式缴纳。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富平县公安局（本级）</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富平县公安局（本级）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的名称、品牌、规格、型号、产地、数量进行检查。2、终验：所有货物(设备)安装、调试完毕，正常使用30个日历日后，由采购人进行终验 (最终验收) ，合格后签发《终验合格单》。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采购全套作战服、冬季作战服、安全U盘等自定装备。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1,040,000.00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警用装备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标的名称：警用装备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3"/>
              <w:gridCol w:w="286"/>
              <w:gridCol w:w="164"/>
              <w:gridCol w:w="172"/>
              <w:gridCol w:w="1791"/>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采购</w:t>
                  </w:r>
                </w:p>
                <w:p>
                  <w:pPr>
                    <w:pStyle w:val="null3"/>
                    <w:jc w:val="center"/>
                  </w:pPr>
                  <w:r>
                    <w:rPr>
                      <w:rFonts w:ascii="仿宋_GB2312" w:hAnsi="仿宋_GB2312" w:cs="仿宋_GB2312" w:eastAsia="仿宋_GB2312"/>
                      <w:sz w:val="24"/>
                      <w:color w:val="000000"/>
                    </w:rPr>
                    <w:t>项目</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警用</w:t>
                  </w:r>
                </w:p>
                <w:p>
                  <w:pPr>
                    <w:pStyle w:val="null3"/>
                    <w:jc w:val="center"/>
                  </w:pPr>
                  <w:r>
                    <w:rPr>
                      <w:rFonts w:ascii="仿宋_GB2312" w:hAnsi="仿宋_GB2312" w:cs="仿宋_GB2312" w:eastAsia="仿宋_GB2312"/>
                      <w:sz w:val="24"/>
                      <w:color w:val="000000"/>
                    </w:rPr>
                    <w:t>肩灯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w:t>
                  </w:r>
                  <w:r>
                    <w:rPr>
                      <w:rFonts w:ascii="仿宋_GB2312" w:hAnsi="仿宋_GB2312" w:cs="仿宋_GB2312" w:eastAsia="仿宋_GB2312"/>
                      <w:sz w:val="24"/>
                      <w:color w:val="000000"/>
                    </w:rPr>
                    <w:t>≥80*35*25mm</w:t>
                  </w:r>
                  <w:r>
                    <w:rPr>
                      <w:rFonts w:ascii="仿宋_GB2312" w:hAnsi="仿宋_GB2312" w:cs="仿宋_GB2312" w:eastAsia="仿宋_GB2312"/>
                      <w:sz w:val="24"/>
                      <w:color w:val="000000"/>
                    </w:rPr>
                    <w:t>，质量</w:t>
                  </w:r>
                  <w:r>
                    <w:rPr>
                      <w:rFonts w:ascii="仿宋_GB2312" w:hAnsi="仿宋_GB2312" w:cs="仿宋_GB2312" w:eastAsia="仿宋_GB2312"/>
                      <w:sz w:val="24"/>
                      <w:color w:val="000000"/>
                    </w:rPr>
                    <w:t>≤50g</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功能：具有红蓝频闪和照明模式，通过单一控制按钮进行开关及模式切换，红蓝频闪模式下应可以通过重力感应完成闪烁模式切换，照明模式与频闪模式应独立工作。</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电池连续供电工作时间：完全充电状态进入频闪模式，连续工作时间应</w:t>
                  </w:r>
                  <w:r>
                    <w:rPr>
                      <w:rFonts w:ascii="仿宋_GB2312" w:hAnsi="仿宋_GB2312" w:cs="仿宋_GB2312" w:eastAsia="仿宋_GB2312"/>
                      <w:sz w:val="24"/>
                      <w:color w:val="000000"/>
                    </w:rPr>
                    <w:t>≥</w:t>
                  </w:r>
                  <w:r>
                    <w:rPr>
                      <w:rFonts w:ascii="仿宋_GB2312" w:hAnsi="仿宋_GB2312" w:cs="仿宋_GB2312" w:eastAsia="仿宋_GB2312"/>
                      <w:sz w:val="24"/>
                      <w:color w:val="000000"/>
                    </w:rPr>
                    <w:t>12h，期间肩灯不应自动变换发光状态或熄灭。</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工作充电状态：内置可充电电池，连续充电时间应</w:t>
                  </w:r>
                  <w:r>
                    <w:rPr>
                      <w:rFonts w:ascii="仿宋_GB2312" w:hAnsi="仿宋_GB2312" w:cs="仿宋_GB2312" w:eastAsia="仿宋_GB2312"/>
                      <w:sz w:val="24"/>
                      <w:color w:val="000000"/>
                    </w:rPr>
                    <w:t>≤3h。</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可视距离：开启频闪工作状态，在晴朗夜间环境下</w:t>
                  </w:r>
                  <w:r>
                    <w:rPr>
                      <w:rFonts w:ascii="仿宋_GB2312" w:hAnsi="仿宋_GB2312" w:cs="仿宋_GB2312" w:eastAsia="仿宋_GB2312"/>
                      <w:sz w:val="24"/>
                      <w:color w:val="000000"/>
                    </w:rPr>
                    <w:t>≥</w:t>
                  </w:r>
                  <w:r>
                    <w:rPr>
                      <w:rFonts w:ascii="仿宋_GB2312" w:hAnsi="仿宋_GB2312" w:cs="仿宋_GB2312" w:eastAsia="仿宋_GB2312"/>
                      <w:sz w:val="24"/>
                      <w:color w:val="000000"/>
                    </w:rPr>
                    <w:t>300米处应能看到红蓝闪烁。</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外壳防护等级</w:t>
                  </w:r>
                  <w:r>
                    <w:rPr>
                      <w:rFonts w:ascii="仿宋_GB2312" w:hAnsi="仿宋_GB2312" w:cs="仿宋_GB2312" w:eastAsia="仿宋_GB2312"/>
                      <w:sz w:val="24"/>
                      <w:color w:val="000000"/>
                    </w:rPr>
                    <w:t>≥IP64</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低温</w:t>
                  </w:r>
                  <w:r>
                    <w:rPr>
                      <w:rFonts w:ascii="仿宋_GB2312" w:hAnsi="仿宋_GB2312" w:cs="仿宋_GB2312" w:eastAsia="仿宋_GB2312"/>
                      <w:sz w:val="24"/>
                      <w:color w:val="000000"/>
                    </w:rPr>
                    <w:t>(贮存)：在-20℃的温度条件下，保持2h(非工作状态)，试验后应能正常工作。</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高温</w:t>
                  </w:r>
                  <w:r>
                    <w:rPr>
                      <w:rFonts w:ascii="仿宋_GB2312" w:hAnsi="仿宋_GB2312" w:cs="仿宋_GB2312" w:eastAsia="仿宋_GB2312"/>
                      <w:sz w:val="24"/>
                      <w:color w:val="000000"/>
                    </w:rPr>
                    <w:t>(贮存)：在55℃的温度</w:t>
                  </w:r>
                  <w:r>
                    <w:rPr>
                      <w:rFonts w:ascii="仿宋_GB2312" w:hAnsi="仿宋_GB2312" w:cs="仿宋_GB2312" w:eastAsia="仿宋_GB2312"/>
                      <w:sz w:val="24"/>
                      <w:color w:val="000000"/>
                    </w:rPr>
                    <w:t>条件下，保持</w:t>
                  </w:r>
                  <w:r>
                    <w:rPr>
                      <w:rFonts w:ascii="仿宋_GB2312" w:hAnsi="仿宋_GB2312" w:cs="仿宋_GB2312" w:eastAsia="仿宋_GB2312"/>
                      <w:sz w:val="24"/>
                      <w:color w:val="000000"/>
                    </w:rPr>
                    <w:t>2h(非工作状态)，试验后应能正常工作。</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恒定湿热</w:t>
                  </w:r>
                  <w:r>
                    <w:rPr>
                      <w:rFonts w:ascii="仿宋_GB2312" w:hAnsi="仿宋_GB2312" w:cs="仿宋_GB2312" w:eastAsia="仿宋_GB2312"/>
                      <w:sz w:val="24"/>
                      <w:color w:val="000000"/>
                    </w:rPr>
                    <w:t>(贮存)：在相对湿度RH(93+3-3)%、温度(40±2)℃、持续时间2h，试验期间样品处于非工作状态，试验后样机应能正常工作。</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催泪喷射器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1.尺寸：竖喷型催泪喷射器外形尺寸应为</w:t>
                  </w:r>
                  <w:r>
                    <w:rPr>
                      <w:rFonts w:ascii="仿宋_GB2312" w:hAnsi="仿宋_GB2312" w:cs="仿宋_GB2312" w:eastAsia="仿宋_GB2312"/>
                      <w:sz w:val="24"/>
                      <w:color w:val="000000"/>
                    </w:rPr>
                    <w:t>≥185*39*35mm</w:t>
                  </w:r>
                  <w:r>
                    <w:rPr>
                      <w:rFonts w:ascii="仿宋_GB2312" w:hAnsi="仿宋_GB2312" w:cs="仿宋_GB2312" w:eastAsia="仿宋_GB2312"/>
                      <w:sz w:val="24"/>
                      <w:color w:val="000000"/>
                    </w:rPr>
                    <w:t>。观察窗宽</w:t>
                  </w:r>
                  <w:r>
                    <w:rPr>
                      <w:rFonts w:ascii="仿宋_GB2312" w:hAnsi="仿宋_GB2312" w:cs="仿宋_GB2312" w:eastAsia="仿宋_GB2312"/>
                      <w:sz w:val="24"/>
                      <w:color w:val="000000"/>
                    </w:rPr>
                    <w:t>≥7mm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2.质量：竖喷型催泪喷射器质量应为≥185g 。</w:t>
                  </w:r>
                  <w:r>
                    <w:br/>
                  </w:r>
                  <w:r>
                    <w:rPr>
                      <w:rFonts w:ascii="仿宋_GB2312" w:hAnsi="仿宋_GB2312" w:cs="仿宋_GB2312" w:eastAsia="仿宋_GB2312"/>
                      <w:sz w:val="24"/>
                      <w:color w:val="000000"/>
                    </w:rPr>
                    <w:t>4.催泪剂溶液：催泪剂溶液体积为</w:t>
                  </w:r>
                  <w:r>
                    <w:rPr>
                      <w:rFonts w:ascii="仿宋_GB2312" w:hAnsi="仿宋_GB2312" w:cs="仿宋_GB2312" w:eastAsia="仿宋_GB2312"/>
                      <w:sz w:val="24"/>
                      <w:color w:val="000000"/>
                    </w:rPr>
                    <w:t>≥</w:t>
                  </w:r>
                  <w:r>
                    <w:rPr>
                      <w:rFonts w:ascii="仿宋_GB2312" w:hAnsi="仿宋_GB2312" w:cs="仿宋_GB2312" w:eastAsia="仿宋_GB2312"/>
                      <w:sz w:val="24"/>
                      <w:color w:val="000000"/>
                    </w:rPr>
                    <w:t>69mL，包含溶质(合成辣椒素)和溶剂；合成辣椒素应符合GA 1182-2014的规定，含量</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1.5%(质量百分比)。 </w:t>
                  </w:r>
                  <w:r>
                    <w:br/>
                  </w:r>
                  <w:r>
                    <w:rPr>
                      <w:rFonts w:ascii="仿宋_GB2312" w:hAnsi="仿宋_GB2312" w:cs="仿宋_GB2312" w:eastAsia="仿宋_GB2312"/>
                      <w:sz w:val="24"/>
                      <w:color w:val="000000"/>
                    </w:rPr>
                    <w:t>5.喷射性能：催泪喷射器喷射应为定向射流状，喷射距离应</w:t>
                  </w:r>
                  <w:r>
                    <w:rPr>
                      <w:rFonts w:ascii="仿宋_GB2312" w:hAnsi="仿宋_GB2312" w:cs="仿宋_GB2312" w:eastAsia="仿宋_GB2312"/>
                      <w:sz w:val="24"/>
                      <w:color w:val="000000"/>
                    </w:rPr>
                    <w:t>≥</w:t>
                  </w:r>
                  <w:r>
                    <w:rPr>
                      <w:rFonts w:ascii="仿宋_GB2312" w:hAnsi="仿宋_GB2312" w:cs="仿宋_GB2312" w:eastAsia="仿宋_GB2312"/>
                      <w:sz w:val="24"/>
                      <w:color w:val="000000"/>
                    </w:rPr>
                    <w:t>4m，有效喷射时间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7s。完全喷射后剩余溶液量≤7 mL。 </w:t>
                  </w:r>
                  <w:r>
                    <w:br/>
                  </w:r>
                  <w:r>
                    <w:rPr>
                      <w:rFonts w:ascii="仿宋_GB2312" w:hAnsi="仿宋_GB2312" w:cs="仿宋_GB2312" w:eastAsia="仿宋_GB2312"/>
                      <w:sz w:val="24"/>
                      <w:color w:val="000000"/>
                    </w:rPr>
                    <w:t>6.稳定性：放置在温度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45℃、相对湿度</w:t>
                  </w:r>
                  <w:r>
                    <w:rPr>
                      <w:rFonts w:ascii="仿宋_GB2312" w:hAnsi="仿宋_GB2312" w:cs="仿宋_GB2312" w:eastAsia="仿宋_GB2312"/>
                      <w:sz w:val="24"/>
                      <w:color w:val="000000"/>
                    </w:rPr>
                    <w:t>≥</w:t>
                  </w:r>
                  <w:r>
                    <w:rPr>
                      <w:rFonts w:ascii="仿宋_GB2312" w:hAnsi="仿宋_GB2312" w:cs="仿宋_GB2312" w:eastAsia="仿宋_GB2312"/>
                      <w:sz w:val="24"/>
                      <w:color w:val="000000"/>
                    </w:rPr>
                    <w:t>95%，喷射距离</w:t>
                  </w:r>
                  <w:r>
                    <w:rPr>
                      <w:rFonts w:ascii="仿宋_GB2312" w:hAnsi="仿宋_GB2312" w:cs="仿宋_GB2312" w:eastAsia="仿宋_GB2312"/>
                      <w:sz w:val="24"/>
                      <w:color w:val="000000"/>
                    </w:rPr>
                    <w:t>≥</w:t>
                  </w:r>
                  <w:r>
                    <w:rPr>
                      <w:rFonts w:ascii="仿宋_GB2312" w:hAnsi="仿宋_GB2312" w:cs="仿宋_GB2312" w:eastAsia="仿宋_GB2312"/>
                      <w:sz w:val="24"/>
                      <w:color w:val="000000"/>
                    </w:rPr>
                    <w:t>4m，有效喷射时间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7s，完全喷射后剩余溶液量≤7mL。 </w:t>
                  </w:r>
                  <w:r>
                    <w:br/>
                  </w:r>
                  <w:r>
                    <w:rPr>
                      <w:rFonts w:ascii="仿宋_GB2312" w:hAnsi="仿宋_GB2312" w:cs="仿宋_GB2312" w:eastAsia="仿宋_GB2312"/>
                      <w:sz w:val="24"/>
                      <w:color w:val="000000"/>
                    </w:rPr>
                    <w:t xml:space="preserve">7.承压安全性：催泪喷射器经980N承压试验后，应不解体、不泄漏、不爆裂。 </w:t>
                  </w:r>
                  <w:r>
                    <w:br/>
                  </w:r>
                  <w:r>
                    <w:rPr>
                      <w:rFonts w:ascii="仿宋_GB2312" w:hAnsi="仿宋_GB2312" w:cs="仿宋_GB2312" w:eastAsia="仿宋_GB2312"/>
                      <w:sz w:val="24"/>
                      <w:color w:val="000000"/>
                    </w:rPr>
                    <w:t>8.保险盖可靠性：保险盖重复启闭100次应可正常使用，喷射应为定向射流状。</w:t>
                  </w:r>
                </w:p>
                <w:p>
                  <w:pPr>
                    <w:pStyle w:val="null3"/>
                    <w:jc w:val="left"/>
                  </w:pPr>
                  <w:r>
                    <w:rPr>
                      <w:rFonts w:ascii="仿宋_GB2312" w:hAnsi="仿宋_GB2312" w:cs="仿宋_GB2312" w:eastAsia="仿宋_GB2312"/>
                      <w:sz w:val="24"/>
                      <w:color w:val="000000"/>
                    </w:rPr>
                    <w:t>9.执行标准：《GA 884-2018公安单警装备催泪喷射器》。</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急救包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1.材质：移膜皮革。 </w:t>
                  </w:r>
                  <w:r>
                    <w:br/>
                  </w:r>
                  <w:r>
                    <w:rPr>
                      <w:rFonts w:ascii="仿宋_GB2312" w:hAnsi="仿宋_GB2312" w:cs="仿宋_GB2312" w:eastAsia="仿宋_GB2312"/>
                      <w:sz w:val="24"/>
                      <w:color w:val="000000"/>
                    </w:rPr>
                    <w:t xml:space="preserve">2.急救包展开长应≥220*125mm。 </w:t>
                  </w:r>
                  <w:r>
                    <w:br/>
                  </w:r>
                  <w:r>
                    <w:rPr>
                      <w:rFonts w:ascii="仿宋_GB2312" w:hAnsi="仿宋_GB2312" w:cs="仿宋_GB2312" w:eastAsia="仿宋_GB2312"/>
                      <w:sz w:val="24"/>
                      <w:color w:val="000000"/>
                    </w:rPr>
                    <w:t xml:space="preserve">3.背面水平居中应烫印银白色产品编号，字体的底边距急救包的底20mm，字体为黑体，字高5mm;在急救包内部应有永久性产品编号。 </w:t>
                  </w:r>
                  <w:r>
                    <w:br/>
                  </w:r>
                  <w:r>
                    <w:rPr>
                      <w:rFonts w:ascii="仿宋_GB2312" w:hAnsi="仿宋_GB2312" w:cs="仿宋_GB2312" w:eastAsia="仿宋_GB2312"/>
                      <w:sz w:val="24"/>
                      <w:color w:val="000000"/>
                    </w:rPr>
                    <w:t xml:space="preserve">4.皮革耐摩擦色牢度：干摩，50次≥4级湿摩，10次≥3级； </w:t>
                  </w:r>
                  <w:r>
                    <w:br/>
                  </w:r>
                  <w:r>
                    <w:rPr>
                      <w:rFonts w:ascii="仿宋_GB2312" w:hAnsi="仿宋_GB2312" w:cs="仿宋_GB2312" w:eastAsia="仿宋_GB2312"/>
                      <w:sz w:val="24"/>
                      <w:color w:val="000000"/>
                    </w:rPr>
                    <w:t>5.皮革撕裂强度≥ 25(N/mm) ；</w:t>
                  </w:r>
                  <w:r>
                    <w:br/>
                  </w:r>
                  <w:r>
                    <w:rPr>
                      <w:rFonts w:ascii="仿宋_GB2312" w:hAnsi="仿宋_GB2312" w:cs="仿宋_GB2312" w:eastAsia="仿宋_GB2312"/>
                      <w:sz w:val="24"/>
                      <w:color w:val="000000"/>
                    </w:rPr>
                    <w:t xml:space="preserve">6.拉链平拉强力 ≥600N； </w:t>
                  </w:r>
                  <w:r>
                    <w:br/>
                  </w:r>
                  <w:r>
                    <w:rPr>
                      <w:rFonts w:ascii="仿宋_GB2312" w:hAnsi="仿宋_GB2312" w:cs="仿宋_GB2312" w:eastAsia="仿宋_GB2312"/>
                      <w:sz w:val="24"/>
                      <w:color w:val="000000"/>
                    </w:rPr>
                    <w:t xml:space="preserve">7.拉链拉头拉片结合力≥250N；  </w:t>
                  </w:r>
                  <w:r>
                    <w:br/>
                  </w:r>
                  <w:r>
                    <w:rPr>
                      <w:rFonts w:ascii="仿宋_GB2312" w:hAnsi="仿宋_GB2312" w:cs="仿宋_GB2312" w:eastAsia="仿宋_GB2312"/>
                      <w:sz w:val="24"/>
                      <w:color w:val="000000"/>
                    </w:rPr>
                    <w:t xml:space="preserve">8.警用急救包应配备硝酸甘油片，规格应为0.5mg,数量≥4片。  </w:t>
                  </w:r>
                  <w:r>
                    <w:br/>
                  </w:r>
                  <w:r>
                    <w:rPr>
                      <w:rFonts w:ascii="仿宋_GB2312" w:hAnsi="仿宋_GB2312" w:cs="仿宋_GB2312" w:eastAsia="仿宋_GB2312"/>
                      <w:sz w:val="24"/>
                      <w:color w:val="000000"/>
                    </w:rPr>
                    <w:t xml:space="preserve">9.警用急救包应配备创可贴，规格1.5cm*2.3cm, 数量≥2片。 </w:t>
                  </w:r>
                  <w:r>
                    <w:br/>
                  </w:r>
                  <w:r>
                    <w:rPr>
                      <w:rFonts w:ascii="仿宋_GB2312" w:hAnsi="仿宋_GB2312" w:cs="仿宋_GB2312" w:eastAsia="仿宋_GB2312"/>
                      <w:sz w:val="24"/>
                      <w:color w:val="000000"/>
                    </w:rPr>
                    <w:t xml:space="preserve">10.警用急救包应配备橡胶止血带，规格应为46cm*2.5cm,数量应为1根。  </w:t>
                  </w:r>
                  <w:r>
                    <w:br/>
                  </w:r>
                  <w:r>
                    <w:rPr>
                      <w:rFonts w:ascii="仿宋_GB2312" w:hAnsi="仿宋_GB2312" w:cs="仿宋_GB2312" w:eastAsia="仿宋_GB2312"/>
                      <w:sz w:val="24"/>
                      <w:color w:val="000000"/>
                    </w:rPr>
                    <w:t xml:space="preserve">11.警用急救包应配备无菌纱布片，规格应为7.5cm*7.5cm，8层，数量应为1片。 </w:t>
                  </w:r>
                  <w:r>
                    <w:br/>
                  </w:r>
                  <w:r>
                    <w:rPr>
                      <w:rFonts w:ascii="仿宋_GB2312" w:hAnsi="仿宋_GB2312" w:cs="仿宋_GB2312" w:eastAsia="仿宋_GB2312"/>
                      <w:sz w:val="24"/>
                      <w:color w:val="000000"/>
                    </w:rPr>
                    <w:t xml:space="preserve">12.警用急救包应配备急救绷带，绷带规格应为7.5cm*2m,不粘垫规格应为5cm*7.5cm,数量应为1条。 </w:t>
                  </w:r>
                  <w:r>
                    <w:br/>
                  </w:r>
                  <w:r>
                    <w:rPr>
                      <w:rFonts w:ascii="仿宋_GB2312" w:hAnsi="仿宋_GB2312" w:cs="仿宋_GB2312" w:eastAsia="仿宋_GB2312"/>
                      <w:sz w:val="24"/>
                      <w:color w:val="000000"/>
                    </w:rPr>
                    <w:t xml:space="preserve">13.警用急救包应配备口对口的呼吸膜，规格应≥29.5cm*19cm,数量应为1片。 </w:t>
                  </w:r>
                  <w:r>
                    <w:br/>
                  </w:r>
                  <w:r>
                    <w:rPr>
                      <w:rFonts w:ascii="仿宋_GB2312" w:hAnsi="仿宋_GB2312" w:cs="仿宋_GB2312" w:eastAsia="仿宋_GB2312"/>
                      <w:sz w:val="24"/>
                      <w:color w:val="000000"/>
                    </w:rPr>
                    <w:t xml:space="preserve">14.警用急救包应配备酒精消毒片，规格应为10cm*4cm或外包装:5cm*5cm,内芯:6cm*6cm,数量应为两片。 </w:t>
                  </w:r>
                  <w:r>
                    <w:br/>
                  </w:r>
                  <w:r>
                    <w:rPr>
                      <w:rFonts w:ascii="仿宋_GB2312" w:hAnsi="仿宋_GB2312" w:cs="仿宋_GB2312" w:eastAsia="仿宋_GB2312"/>
                      <w:sz w:val="24"/>
                      <w:color w:val="000000"/>
                    </w:rPr>
                    <w:t xml:space="preserve">15.警用急救包应配备抗菌湿巾纸，规格应为19cm*12.5cm或外包装:5cm*6cm，内芯:20cm*12cm，数量应为1袋。 </w:t>
                  </w:r>
                  <w:r>
                    <w:br/>
                  </w:r>
                  <w:r>
                    <w:rPr>
                      <w:rFonts w:ascii="仿宋_GB2312" w:hAnsi="仿宋_GB2312" w:cs="仿宋_GB2312" w:eastAsia="仿宋_GB2312"/>
                      <w:sz w:val="24"/>
                      <w:color w:val="000000"/>
                    </w:rPr>
                    <w:t xml:space="preserve">16.警用急救包应配备小剪刀，长度应为9cm-11cm，数量应为1把。 </w:t>
                  </w:r>
                  <w:r>
                    <w:br/>
                  </w:r>
                  <w:r>
                    <w:rPr>
                      <w:rFonts w:ascii="仿宋_GB2312" w:hAnsi="仿宋_GB2312" w:cs="仿宋_GB2312" w:eastAsia="仿宋_GB2312"/>
                      <w:sz w:val="24"/>
                      <w:color w:val="000000"/>
                    </w:rPr>
                    <w:t xml:space="preserve">17.警用急救包应配备1别针，数量应为3枚。 </w:t>
                  </w:r>
                  <w:r>
                    <w:br/>
                  </w:r>
                  <w:r>
                    <w:rPr>
                      <w:rFonts w:ascii="仿宋_GB2312" w:hAnsi="仿宋_GB2312" w:cs="仿宋_GB2312" w:eastAsia="仿宋_GB2312"/>
                      <w:sz w:val="24"/>
                      <w:color w:val="000000"/>
                    </w:rPr>
                    <w:t>18.执行标准：《GA891-2010警用急救包》。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普通脚镣</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1.质量</w:t>
                  </w:r>
                  <w:r>
                    <w:rPr>
                      <w:rFonts w:ascii="仿宋_GB2312" w:hAnsi="仿宋_GB2312" w:cs="仿宋_GB2312" w:eastAsia="仿宋_GB2312"/>
                      <w:sz w:val="24"/>
                    </w:rPr>
                    <w:t>：</w:t>
                  </w:r>
                  <w:r>
                    <w:rPr>
                      <w:rFonts w:ascii="仿宋_GB2312" w:hAnsi="仿宋_GB2312" w:cs="仿宋_GB2312" w:eastAsia="仿宋_GB2312"/>
                      <w:sz w:val="24"/>
                    </w:rPr>
                    <w:t>≤3.5kg。</w:t>
                  </w:r>
                </w:p>
                <w:p>
                  <w:pPr>
                    <w:pStyle w:val="null3"/>
                    <w:jc w:val="both"/>
                  </w:pPr>
                  <w:r>
                    <w:rPr>
                      <w:rFonts w:ascii="仿宋_GB2312" w:hAnsi="仿宋_GB2312" w:cs="仿宋_GB2312" w:eastAsia="仿宋_GB2312"/>
                      <w:sz w:val="24"/>
                    </w:rPr>
                    <w:t>2.材质：碳化钢。</w:t>
                  </w:r>
                </w:p>
                <w:p>
                  <w:pPr>
                    <w:pStyle w:val="null3"/>
                    <w:jc w:val="both"/>
                  </w:pPr>
                  <w:r>
                    <w:rPr>
                      <w:rFonts w:ascii="仿宋_GB2312" w:hAnsi="仿宋_GB2312" w:cs="仿宋_GB2312" w:eastAsia="仿宋_GB2312"/>
                      <w:sz w:val="24"/>
                    </w:rPr>
                    <w:t>3.尺寸：L：MIN400mm、MAX800mm；H：MIN65mm、MAX90mm；</w:t>
                  </w:r>
                </w:p>
                <w:p>
                  <w:pPr>
                    <w:pStyle w:val="null3"/>
                    <w:jc w:val="both"/>
                  </w:pPr>
                  <w:r>
                    <w:rPr>
                      <w:rFonts w:ascii="仿宋_GB2312" w:hAnsi="仿宋_GB2312" w:cs="仿宋_GB2312" w:eastAsia="仿宋_GB2312"/>
                      <w:sz w:val="24"/>
                    </w:rPr>
                    <w:t>B：MIN65mm、MAX90mm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防开启性能：螺扣型金属脚镣的防开启工作时间应能达到</w:t>
                  </w:r>
                  <w:r>
                    <w:rPr>
                      <w:rFonts w:ascii="仿宋_GB2312" w:hAnsi="仿宋_GB2312" w:cs="仿宋_GB2312" w:eastAsia="仿宋_GB2312"/>
                      <w:sz w:val="24"/>
                    </w:rPr>
                    <w:t>5min。</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强度：</w:t>
                  </w:r>
                  <w:r>
                    <w:rPr>
                      <w:rFonts w:ascii="仿宋_GB2312" w:hAnsi="仿宋_GB2312" w:cs="仿宋_GB2312" w:eastAsia="仿宋_GB2312"/>
                      <w:sz w:val="24"/>
                    </w:rPr>
                    <w:t>对金属脚镣施加</w:t>
                  </w:r>
                  <w:r>
                    <w:rPr>
                      <w:rFonts w:ascii="仿宋_GB2312" w:hAnsi="仿宋_GB2312" w:cs="仿宋_GB2312" w:eastAsia="仿宋_GB2312"/>
                      <w:sz w:val="24"/>
                    </w:rPr>
                    <w:t>3000N的横向静拉力，保持30s，试验过程中金属脚镣不应被打开，试验后镣体上不应产生永久变形或裂缝，金属脚镣应能正常开启和锁闭。对铆钉型金属脚镣锁定点的铆钉施加5000N作用力，保持</w:t>
                  </w:r>
                  <w:r>
                    <w:rPr>
                      <w:rFonts w:ascii="仿宋_GB2312" w:hAnsi="仿宋_GB2312" w:cs="仿宋_GB2312" w:eastAsia="仿宋_GB2312"/>
                      <w:sz w:val="24"/>
                    </w:rPr>
                    <w:t>≥3</w:t>
                  </w:r>
                  <w:r>
                    <w:rPr>
                      <w:rFonts w:ascii="仿宋_GB2312" w:hAnsi="仿宋_GB2312" w:cs="仿宋_GB2312" w:eastAsia="仿宋_GB2312"/>
                      <w:sz w:val="24"/>
                    </w:rPr>
                    <w:t>0s，试验过程中铆钉不应损坏、脱出，金属脚镣不应破打开。</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耐用度：螺扣型金属脚镣和棘齿型金属脚镣开启、关闭</w:t>
                  </w:r>
                  <w:r>
                    <w:rPr>
                      <w:rFonts w:ascii="仿宋_GB2312" w:hAnsi="仿宋_GB2312" w:cs="仿宋_GB2312" w:eastAsia="仿宋_GB2312"/>
                      <w:sz w:val="24"/>
                    </w:rPr>
                    <w:t>3000次后，灵活度应满足要求。</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漆膜附着力：金属脚镣的涂漆部件的漆膜附着力不低</w:t>
                  </w:r>
                  <w:r>
                    <w:rPr>
                      <w:rFonts w:ascii="仿宋_GB2312" w:hAnsi="仿宋_GB2312" w:cs="仿宋_GB2312" w:eastAsia="仿宋_GB2312"/>
                      <w:sz w:val="24"/>
                    </w:rPr>
                    <w:t>GB/T 1720-1979中规定的二级；金属脚镣表面涂覆层的附着力应不低于GB/T 9286-1998中规定的4级。</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金属脚镣的耐腐蚀等级</w:t>
                  </w:r>
                  <w:r>
                    <w:rPr>
                      <w:rFonts w:ascii="仿宋_GB2312" w:hAnsi="仿宋_GB2312" w:cs="仿宋_GB2312" w:eastAsia="仿宋_GB2312"/>
                      <w:sz w:val="24"/>
                    </w:rPr>
                    <w:t>7级。</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耐跌落性能：使螺扣型金属脚镣、铆钉型金属脚镣处于锁闭状态、棘齿型金属脚镣处于啮合三齿和反锁定位状态将金属脚镣分别以水平横放、链条朝上两只镣体垂直向下、链条垂直向下两只镣体朝上</w:t>
                  </w:r>
                  <w:r>
                    <w:rPr>
                      <w:rFonts w:ascii="仿宋_GB2312" w:hAnsi="仿宋_GB2312" w:cs="仿宋_GB2312" w:eastAsia="仿宋_GB2312"/>
                      <w:sz w:val="24"/>
                    </w:rPr>
                    <w:t>3种状态，</w:t>
                  </w:r>
                  <w:r>
                    <w:rPr>
                      <w:rFonts w:ascii="仿宋_GB2312" w:hAnsi="仿宋_GB2312" w:cs="仿宋_GB2312" w:eastAsia="仿宋_GB2312"/>
                      <w:sz w:val="24"/>
                    </w:rPr>
                    <w:t>自</w:t>
                  </w:r>
                  <w:r>
                    <w:rPr>
                      <w:rFonts w:ascii="仿宋_GB2312" w:hAnsi="仿宋_GB2312" w:cs="仿宋_GB2312" w:eastAsia="仿宋_GB2312"/>
                      <w:sz w:val="24"/>
                      <w:color w:val="000000"/>
                    </w:rPr>
                    <w:t>≥</w:t>
                  </w:r>
                  <w:r>
                    <w:rPr>
                      <w:rFonts w:ascii="仿宋_GB2312" w:hAnsi="仿宋_GB2312" w:cs="仿宋_GB2312" w:eastAsia="仿宋_GB2312"/>
                      <w:sz w:val="24"/>
                    </w:rPr>
                    <w:t>1.</w:t>
                  </w:r>
                  <w:r>
                    <w:rPr>
                      <w:rFonts w:ascii="仿宋_GB2312" w:hAnsi="仿宋_GB2312" w:cs="仿宋_GB2312" w:eastAsia="仿宋_GB2312"/>
                      <w:sz w:val="24"/>
                    </w:rPr>
                    <w:t>5m高度处于自由跌落至水泥地面3次，试验后金属脚镣不应出现开启现象并且应能正常使用，棘齿型金属脚镣的反锁定位功能应正常。</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耐碰撞性能：使螺扣型金属脚镣、铆钉型金属脚镣处于锁闭状态、棘齿型金属脚镣处于啮合三齿和反锁</w:t>
                  </w:r>
                  <w:r>
                    <w:rPr>
                      <w:rFonts w:ascii="仿宋_GB2312" w:hAnsi="仿宋_GB2312" w:cs="仿宋_GB2312" w:eastAsia="仿宋_GB2312"/>
                      <w:sz w:val="24"/>
                    </w:rPr>
                    <w:t>定位状态，经过峰值加速度</w:t>
                  </w:r>
                  <w:r>
                    <w:rPr>
                      <w:rFonts w:ascii="仿宋_GB2312" w:hAnsi="仿宋_GB2312" w:cs="仿宋_GB2312" w:eastAsia="仿宋_GB2312"/>
                      <w:sz w:val="24"/>
                      <w:color w:val="000000"/>
                    </w:rPr>
                    <w:t>≥</w:t>
                  </w:r>
                  <w:r>
                    <w:rPr>
                      <w:rFonts w:ascii="仿宋_GB2312" w:hAnsi="仿宋_GB2312" w:cs="仿宋_GB2312" w:eastAsia="仿宋_GB2312"/>
                      <w:sz w:val="24"/>
                    </w:rPr>
                    <w:t>10g、脉冲持续时间</w:t>
                  </w:r>
                  <w:r>
                    <w:rPr>
                      <w:rFonts w:ascii="仿宋_GB2312" w:hAnsi="仿宋_GB2312" w:cs="仿宋_GB2312" w:eastAsia="仿宋_GB2312"/>
                      <w:sz w:val="24"/>
                      <w:color w:val="000000"/>
                    </w:rPr>
                    <w:t>≥</w:t>
                  </w:r>
                  <w:r>
                    <w:rPr>
                      <w:rFonts w:ascii="仿宋_GB2312" w:hAnsi="仿宋_GB2312" w:cs="仿宋_GB2312" w:eastAsia="仿宋_GB2312"/>
                      <w:sz w:val="24"/>
                    </w:rPr>
                    <w:t>15ms、沿镣体中心线方向及其垂直方向各</w:t>
                  </w:r>
                  <w:r>
                    <w:rPr>
                      <w:rFonts w:ascii="仿宋_GB2312" w:hAnsi="仿宋_GB2312" w:cs="仿宋_GB2312" w:eastAsia="仿宋_GB2312"/>
                      <w:sz w:val="24"/>
                      <w:color w:val="000000"/>
                    </w:rPr>
                    <w:t>≥</w:t>
                  </w:r>
                  <w:r>
                    <w:rPr>
                      <w:rFonts w:ascii="仿宋_GB2312" w:hAnsi="仿宋_GB2312" w:cs="仿宋_GB2312" w:eastAsia="仿宋_GB2312"/>
                      <w:sz w:val="24"/>
                    </w:rPr>
                    <w:t>1000次的碰撞试验，试验后金属脚镣不应出现开启现象并且能正常</w:t>
                  </w:r>
                  <w:r>
                    <w:rPr>
                      <w:rFonts w:ascii="仿宋_GB2312" w:hAnsi="仿宋_GB2312" w:cs="仿宋_GB2312" w:eastAsia="仿宋_GB2312"/>
                      <w:sz w:val="24"/>
                    </w:rPr>
                    <w:t>使用，棘齿型金属脚镣反锁定位功能应正常。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11.执行标准：GA 237-2018 《金属脚镣》提供产品检验报告。</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头套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防静电针织材料，柔软舒适透气。</w:t>
                  </w:r>
                </w:p>
                <w:p>
                  <w:pPr>
                    <w:pStyle w:val="null3"/>
                    <w:jc w:val="both"/>
                  </w:pPr>
                  <w:r>
                    <w:rPr>
                      <w:rFonts w:ascii="仿宋_GB2312" w:hAnsi="仿宋_GB2312" w:cs="仿宋_GB2312" w:eastAsia="仿宋_GB2312"/>
                      <w:sz w:val="24"/>
                    </w:rPr>
                    <w:t>冬季款：重量</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w:t>
                  </w: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约束绳</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材质：采用尼龙织绳制成。</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外观：粗细均匀，表面平整光滑，两端套环对称。</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颜色：黑色。</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质量为</w:t>
                  </w:r>
                  <w:r>
                    <w:rPr>
                      <w:rFonts w:ascii="仿宋_GB2312" w:hAnsi="仿宋_GB2312" w:cs="仿宋_GB2312" w:eastAsia="仿宋_GB2312"/>
                      <w:sz w:val="24"/>
                      <w:color w:val="000000"/>
                    </w:rPr>
                    <w:t>80g±5g，直径φ8mm，长度5m±0.05m。</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抗拉强度：在</w:t>
                  </w:r>
                  <w:r>
                    <w:rPr>
                      <w:rFonts w:ascii="仿宋_GB2312" w:hAnsi="仿宋_GB2312" w:cs="仿宋_GB2312" w:eastAsia="仿宋_GB2312"/>
                      <w:sz w:val="24"/>
                      <w:color w:val="000000"/>
                    </w:rPr>
                    <w:t>1000N静拉力作用下不出现断裂现象。</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浸水试验：常温下，将警绳浸入</w:t>
                  </w:r>
                  <w:r>
                    <w:rPr>
                      <w:rFonts w:ascii="仿宋_GB2312" w:hAnsi="仿宋_GB2312" w:cs="仿宋_GB2312" w:eastAsia="仿宋_GB2312"/>
                      <w:sz w:val="24"/>
                      <w:color w:val="000000"/>
                    </w:rPr>
                    <w:t>0.5m深的水中，静置120nin、试验后警绳在1000N静拉力作用下不应出现断裂现象。</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耐久性试验：工作次</w:t>
                  </w:r>
                  <w:r>
                    <w:rPr>
                      <w:rFonts w:ascii="仿宋_GB2312" w:hAnsi="仿宋_GB2312" w:cs="仿宋_GB2312" w:eastAsia="仿宋_GB2312"/>
                      <w:sz w:val="24"/>
                      <w:color w:val="000000"/>
                    </w:rPr>
                    <w:t>数</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1000次。</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配置：警绳</w:t>
                  </w:r>
                  <w:r>
                    <w:rPr>
                      <w:rFonts w:ascii="仿宋_GB2312" w:hAnsi="仿宋_GB2312" w:cs="仿宋_GB2312" w:eastAsia="仿宋_GB2312"/>
                      <w:sz w:val="24"/>
                      <w:color w:val="000000"/>
                    </w:rPr>
                    <w:t>1根、携带包1只。</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腿叉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1.材质：杆体不锈钢，手柄采用高强度塑料。</w:t>
                  </w:r>
                </w:p>
                <w:p>
                  <w:pPr>
                    <w:pStyle w:val="null3"/>
                    <w:jc w:val="left"/>
                  </w:pPr>
                  <w:r>
                    <w:rPr>
                      <w:rFonts w:ascii="仿宋_GB2312" w:hAnsi="仿宋_GB2312" w:cs="仿宋_GB2312" w:eastAsia="仿宋_GB2312"/>
                      <w:sz w:val="24"/>
                      <w:color w:val="000000"/>
                    </w:rPr>
                    <w:t>2.质量：1.8kg±0.1kg。</w:t>
                  </w:r>
                </w:p>
                <w:p>
                  <w:pPr>
                    <w:pStyle w:val="null3"/>
                    <w:jc w:val="left"/>
                  </w:pPr>
                  <w:r>
                    <w:rPr>
                      <w:rFonts w:ascii="仿宋_GB2312" w:hAnsi="仿宋_GB2312" w:cs="仿宋_GB2312" w:eastAsia="仿宋_GB2312"/>
                      <w:sz w:val="24"/>
                      <w:color w:val="000000"/>
                    </w:rPr>
                    <w:t>3.杆体：外管：Φ35mm±1mm，内管：Φ28mm±1mm，壁厚：1mm±0.1mm。</w:t>
                  </w:r>
                </w:p>
                <w:p>
                  <w:pPr>
                    <w:pStyle w:val="null3"/>
                    <w:jc w:val="left"/>
                  </w:pPr>
                  <w:r>
                    <w:rPr>
                      <w:rFonts w:ascii="仿宋_GB2312" w:hAnsi="仿宋_GB2312" w:cs="仿宋_GB2312" w:eastAsia="仿宋_GB2312"/>
                      <w:sz w:val="24"/>
                      <w:color w:val="000000"/>
                    </w:rPr>
                    <w:t>4.收缩长度：1100mm±10mm。</w:t>
                  </w:r>
                </w:p>
                <w:p>
                  <w:pPr>
                    <w:pStyle w:val="null3"/>
                    <w:jc w:val="left"/>
                  </w:pPr>
                  <w:r>
                    <w:rPr>
                      <w:rFonts w:ascii="仿宋_GB2312" w:hAnsi="仿宋_GB2312" w:cs="仿宋_GB2312" w:eastAsia="仿宋_GB2312"/>
                      <w:sz w:val="24"/>
                      <w:color w:val="000000"/>
                    </w:rPr>
                    <w:t>5.伸展长度：2050mm±10mm，月牙环最大间距：420mm±10mm。</w:t>
                  </w:r>
                </w:p>
                <w:p>
                  <w:pPr>
                    <w:pStyle w:val="null3"/>
                    <w:jc w:val="left"/>
                  </w:pPr>
                  <w:r>
                    <w:rPr>
                      <w:rFonts w:ascii="仿宋_GB2312" w:hAnsi="仿宋_GB2312" w:cs="仿宋_GB2312" w:eastAsia="仿宋_GB2312"/>
                      <w:sz w:val="24"/>
                      <w:color w:val="000000"/>
                    </w:rPr>
                    <w:t>6.抗拉强度：竖直方向可承受400N以上的拉力。</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腰叉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1.材质：杆体不锈钢。</w:t>
                  </w:r>
                </w:p>
                <w:p>
                  <w:pPr>
                    <w:pStyle w:val="null3"/>
                    <w:jc w:val="left"/>
                  </w:pPr>
                  <w:r>
                    <w:rPr>
                      <w:rFonts w:ascii="仿宋_GB2312" w:hAnsi="仿宋_GB2312" w:cs="仿宋_GB2312" w:eastAsia="仿宋_GB2312"/>
                      <w:sz w:val="24"/>
                      <w:color w:val="000000"/>
                    </w:rPr>
                    <w:t>2.手柄采用高强度塑料，抓捕口使用专用钥匙进行开启。</w:t>
                  </w:r>
                </w:p>
                <w:p>
                  <w:pPr>
                    <w:pStyle w:val="null3"/>
                    <w:jc w:val="left"/>
                  </w:pPr>
                  <w:r>
                    <w:rPr>
                      <w:rFonts w:ascii="仿宋_GB2312" w:hAnsi="仿宋_GB2312" w:cs="仿宋_GB2312" w:eastAsia="仿宋_GB2312"/>
                      <w:sz w:val="24"/>
                      <w:color w:val="000000"/>
                    </w:rPr>
                    <w:t>3.不锈钢杆体:外管直径35mm±1mm壁厚≥1mm，内管：Φ28mm±1mm，壁厚≥1mm，手柄壁厚≥2mm。</w:t>
                  </w:r>
                </w:p>
                <w:p>
                  <w:pPr>
                    <w:pStyle w:val="null3"/>
                    <w:jc w:val="left"/>
                  </w:pPr>
                  <w:r>
                    <w:rPr>
                      <w:rFonts w:ascii="仿宋_GB2312" w:hAnsi="仿宋_GB2312" w:cs="仿宋_GB2312" w:eastAsia="仿宋_GB2312"/>
                      <w:sz w:val="24"/>
                      <w:color w:val="000000"/>
                    </w:rPr>
                    <w:t>4.重量：≥1.2kg。</w:t>
                  </w:r>
                </w:p>
                <w:p>
                  <w:pPr>
                    <w:pStyle w:val="null3"/>
                    <w:jc w:val="left"/>
                  </w:pPr>
                  <w:r>
                    <w:rPr>
                      <w:rFonts w:ascii="仿宋_GB2312" w:hAnsi="仿宋_GB2312" w:cs="仿宋_GB2312" w:eastAsia="仿宋_GB2312"/>
                      <w:sz w:val="24"/>
                      <w:color w:val="000000"/>
                    </w:rPr>
                    <w:t>5.收缩：≥126cm，伸展：≥206cm。</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手持式金属探测器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415mm</w:t>
                  </w:r>
                  <w:r>
                    <w:rPr>
                      <w:rFonts w:ascii="仿宋_GB2312" w:hAnsi="仿宋_GB2312" w:cs="仿宋_GB2312" w:eastAsia="仿宋_GB2312"/>
                      <w:sz w:val="24"/>
                      <w:color w:val="000000"/>
                    </w:rPr>
                    <w:t>*</w:t>
                  </w:r>
                  <w:r>
                    <w:rPr>
                      <w:rFonts w:ascii="仿宋_GB2312" w:hAnsi="仿宋_GB2312" w:cs="仿宋_GB2312" w:eastAsia="仿宋_GB2312"/>
                      <w:sz w:val="24"/>
                      <w:color w:val="000000"/>
                    </w:rPr>
                    <w:t>85mm</w:t>
                  </w:r>
                  <w:r>
                    <w:rPr>
                      <w:rFonts w:ascii="仿宋_GB2312" w:hAnsi="仿宋_GB2312" w:cs="仿宋_GB2312" w:eastAsia="仿宋_GB2312"/>
                      <w:sz w:val="24"/>
                      <w:color w:val="000000"/>
                    </w:rPr>
                    <w:t>*</w:t>
                  </w:r>
                  <w:r>
                    <w:rPr>
                      <w:rFonts w:ascii="仿宋_GB2312" w:hAnsi="仿宋_GB2312" w:cs="仿宋_GB2312" w:eastAsia="仿宋_GB2312"/>
                      <w:sz w:val="24"/>
                      <w:color w:val="000000"/>
                    </w:rPr>
                    <w:t>45mm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工作频段</w:t>
                  </w:r>
                  <w:r>
                    <w:rPr>
                      <w:rFonts w:ascii="仿宋_GB2312" w:hAnsi="仿宋_GB2312" w:cs="仿宋_GB2312" w:eastAsia="仿宋_GB2312"/>
                      <w:sz w:val="24"/>
                      <w:color w:val="000000"/>
                    </w:rPr>
                    <w:t>：</w:t>
                  </w:r>
                  <w:r>
                    <w:rPr>
                      <w:rFonts w:ascii="仿宋_GB2312" w:hAnsi="仿宋_GB2312" w:cs="仿宋_GB2312" w:eastAsia="仿宋_GB2312"/>
                      <w:sz w:val="24"/>
                      <w:color w:val="000000"/>
                    </w:rPr>
                    <w:t>约</w:t>
                  </w:r>
                  <w:r>
                    <w:rPr>
                      <w:rFonts w:ascii="仿宋_GB2312" w:hAnsi="仿宋_GB2312" w:cs="仿宋_GB2312" w:eastAsia="仿宋_GB2312"/>
                      <w:sz w:val="24"/>
                      <w:color w:val="000000"/>
                    </w:rPr>
                    <w:t>25 KHz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净重</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400 g（不含电池）</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w:t>
                  </w:r>
                  <w:r>
                    <w:rPr>
                      <w:rFonts w:ascii="仿宋_GB2312" w:hAnsi="仿宋_GB2312" w:cs="仿宋_GB2312" w:eastAsia="仿宋_GB2312"/>
                      <w:sz w:val="24"/>
                      <w:color w:val="000000"/>
                    </w:rPr>
                    <w:t>标准</w:t>
                  </w:r>
                  <w:r>
                    <w:rPr>
                      <w:rFonts w:ascii="仿宋_GB2312" w:hAnsi="仿宋_GB2312" w:cs="仿宋_GB2312" w:eastAsia="仿宋_GB2312"/>
                      <w:sz w:val="24"/>
                      <w:color w:val="000000"/>
                    </w:rPr>
                    <w:t>6F22ND/15F8H 9V电池或充电电池</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使用温度</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-15℃to +65℃</w:t>
                  </w:r>
                  <w:r>
                    <w:rPr>
                      <w:rFonts w:ascii="仿宋_GB2312" w:hAnsi="仿宋_GB2312" w:cs="仿宋_GB2312" w:eastAsia="仿宋_GB2312"/>
                      <w:sz w:val="24"/>
                      <w:color w:val="000000"/>
                    </w:rPr>
                    <w:t>。</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全套作战服</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609</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夏作战服：</w:t>
                  </w:r>
                  <w:r>
                    <w:br/>
                  </w:r>
                  <w:r>
                    <w:rPr>
                      <w:rFonts w:ascii="仿宋_GB2312" w:hAnsi="仿宋_GB2312" w:cs="仿宋_GB2312" w:eastAsia="仿宋_GB2312"/>
                      <w:sz w:val="24"/>
                      <w:color w:val="000000"/>
                    </w:rPr>
                    <w:t>1.面料：精梳涤棉格子布。</w:t>
                  </w:r>
                  <w:r>
                    <w:br/>
                  </w:r>
                  <w:r>
                    <w:rPr>
                      <w:rFonts w:ascii="仿宋_GB2312" w:hAnsi="仿宋_GB2312" w:cs="仿宋_GB2312" w:eastAsia="仿宋_GB2312"/>
                      <w:sz w:val="24"/>
                      <w:color w:val="000000"/>
                    </w:rPr>
                    <w:t>2.款式符合公安部制式特警夏战训服要求。</w:t>
                  </w:r>
                  <w:r>
                    <w:br/>
                  </w:r>
                  <w:r>
                    <w:rPr>
                      <w:rFonts w:ascii="仿宋_GB2312" w:hAnsi="仿宋_GB2312" w:cs="仿宋_GB2312" w:eastAsia="仿宋_GB2312"/>
                      <w:sz w:val="24"/>
                      <w:color w:val="000000"/>
                    </w:rPr>
                    <w:t>作战帽：</w:t>
                  </w:r>
                  <w:r>
                    <w:br/>
                  </w:r>
                  <w:r>
                    <w:rPr>
                      <w:rFonts w:ascii="仿宋_GB2312" w:hAnsi="仿宋_GB2312" w:cs="仿宋_GB2312" w:eastAsia="仿宋_GB2312"/>
                      <w:sz w:val="24"/>
                      <w:color w:val="000000"/>
                    </w:rPr>
                    <w:t>1.适合高强度户外训练，采用高密度防静电面料，藏青色里衬，两侧均有透气孔，正面带有绣花帽徽。</w:t>
                  </w:r>
                  <w:r>
                    <w:br/>
                  </w:r>
                  <w:r>
                    <w:rPr>
                      <w:rFonts w:ascii="仿宋_GB2312" w:hAnsi="仿宋_GB2312" w:cs="仿宋_GB2312" w:eastAsia="仿宋_GB2312"/>
                      <w:sz w:val="24"/>
                      <w:color w:val="000000"/>
                    </w:rPr>
                    <w:t>2.规格（头围，单位CM）：55--63。</w:t>
                  </w:r>
                  <w:r>
                    <w:br/>
                  </w:r>
                  <w:r>
                    <w:rPr>
                      <w:rFonts w:ascii="仿宋_GB2312" w:hAnsi="仿宋_GB2312" w:cs="仿宋_GB2312" w:eastAsia="仿宋_GB2312"/>
                      <w:sz w:val="24"/>
                      <w:color w:val="000000"/>
                    </w:rPr>
                    <w:t>3.面料：精梳涤棉混纺格子布。</w:t>
                  </w:r>
                  <w:r>
                    <w:br/>
                  </w:r>
                  <w:r>
                    <w:rPr>
                      <w:rFonts w:ascii="仿宋_GB2312" w:hAnsi="仿宋_GB2312" w:cs="仿宋_GB2312" w:eastAsia="仿宋_GB2312"/>
                      <w:sz w:val="24"/>
                      <w:color w:val="000000"/>
                    </w:rPr>
                    <w:t>作战靴：</w:t>
                  </w:r>
                  <w:r>
                    <w:br/>
                  </w:r>
                  <w:r>
                    <w:rPr>
                      <w:rFonts w:ascii="仿宋_GB2312" w:hAnsi="仿宋_GB2312" w:cs="仿宋_GB2312" w:eastAsia="仿宋_GB2312"/>
                      <w:sz w:val="24"/>
                      <w:color w:val="000000"/>
                    </w:rPr>
                    <w:t>1.鞋面:</w:t>
                  </w:r>
                  <w:r>
                    <w:rPr>
                      <w:rFonts w:ascii="仿宋_GB2312" w:hAnsi="仿宋_GB2312" w:cs="仿宋_GB2312" w:eastAsia="仿宋_GB2312"/>
                      <w:sz w:val="24"/>
                      <w:color w:val="000000"/>
                    </w:rPr>
                    <w:t>≥</w:t>
                  </w:r>
                  <w:r>
                    <w:rPr>
                      <w:rFonts w:ascii="仿宋_GB2312" w:hAnsi="仿宋_GB2312" w:cs="仿宋_GB2312" w:eastAsia="仿宋_GB2312"/>
                      <w:sz w:val="24"/>
                      <w:color w:val="000000"/>
                    </w:rPr>
                    <w:t>1.68mm牛皮+尼龙。</w:t>
                  </w:r>
                </w:p>
                <w:p>
                  <w:pPr>
                    <w:pStyle w:val="null3"/>
                    <w:jc w:val="left"/>
                  </w:pPr>
                  <w:r>
                    <w:rPr>
                      <w:rFonts w:ascii="仿宋_GB2312" w:hAnsi="仿宋_GB2312" w:cs="仿宋_GB2312" w:eastAsia="仿宋_GB2312"/>
                      <w:sz w:val="24"/>
                      <w:color w:val="000000"/>
                    </w:rPr>
                    <w:t>2.中底:防弹布PS4防穿刺强度&gt;1200N。</w:t>
                  </w:r>
                  <w:r>
                    <w:br/>
                  </w:r>
                  <w:r>
                    <w:rPr>
                      <w:rFonts w:ascii="仿宋_GB2312" w:hAnsi="仿宋_GB2312" w:cs="仿宋_GB2312" w:eastAsia="仿宋_GB2312"/>
                      <w:sz w:val="24"/>
                      <w:color w:val="000000"/>
                    </w:rPr>
                    <w:t>3.大底:</w:t>
                  </w:r>
                  <w:r>
                    <w:rPr>
                      <w:rFonts w:ascii="仿宋_GB2312" w:hAnsi="仿宋_GB2312" w:cs="仿宋_GB2312" w:eastAsia="仿宋_GB2312"/>
                      <w:sz w:val="24"/>
                      <w:color w:val="000000"/>
                    </w:rPr>
                    <w:t>橡胶底</w:t>
                  </w:r>
                  <w:r>
                    <w:rPr>
                      <w:rFonts w:ascii="仿宋_GB2312" w:hAnsi="仿宋_GB2312" w:cs="仿宋_GB2312" w:eastAsia="仿宋_GB2312"/>
                      <w:sz w:val="24"/>
                      <w:color w:val="000000"/>
                    </w:rPr>
                    <w:t>DR-001耐磨，止滑，防寒，防腐蚀，耐高温</w:t>
                  </w:r>
                  <w:r>
                    <w:br/>
                  </w:r>
                  <w:r>
                    <w:rPr>
                      <w:rFonts w:ascii="仿宋_GB2312" w:hAnsi="仿宋_GB2312" w:cs="仿宋_GB2312" w:eastAsia="仿宋_GB2312"/>
                      <w:sz w:val="24"/>
                      <w:color w:val="000000"/>
                    </w:rPr>
                    <w:t>大底与鞋面之间的胶着拉力</w:t>
                  </w:r>
                  <w:r>
                    <w:rPr>
                      <w:rFonts w:ascii="仿宋_GB2312" w:hAnsi="仿宋_GB2312" w:cs="仿宋_GB2312" w:eastAsia="仿宋_GB2312"/>
                      <w:sz w:val="24"/>
                      <w:color w:val="000000"/>
                    </w:rPr>
                    <w:t>:&gt;15N/cm。</w:t>
                  </w:r>
                  <w:r>
                    <w:br/>
                  </w:r>
                  <w:r>
                    <w:rPr>
                      <w:rFonts w:ascii="仿宋_GB2312" w:hAnsi="仿宋_GB2312" w:cs="仿宋_GB2312" w:eastAsia="仿宋_GB2312"/>
                      <w:sz w:val="24"/>
                      <w:color w:val="000000"/>
                    </w:rPr>
                    <w:t>4.鞋垫:采用防霉抗菌的PU材质。</w:t>
                  </w:r>
                </w:p>
                <w:p>
                  <w:pPr>
                    <w:pStyle w:val="null3"/>
                    <w:jc w:val="left"/>
                  </w:pPr>
                  <w:r>
                    <w:rPr>
                      <w:rFonts w:ascii="仿宋_GB2312" w:hAnsi="仿宋_GB2312" w:cs="仿宋_GB2312" w:eastAsia="仿宋_GB2312"/>
                      <w:sz w:val="24"/>
                      <w:color w:val="000000"/>
                    </w:rPr>
                    <w:t>5.内腰:YKK拉链设计，易穿脱。</w:t>
                  </w:r>
                  <w:r>
                    <w:br/>
                  </w:r>
                  <w:r>
                    <w:rPr>
                      <w:rFonts w:ascii="仿宋_GB2312" w:hAnsi="仿宋_GB2312" w:cs="仿宋_GB2312" w:eastAsia="仿宋_GB2312"/>
                      <w:sz w:val="24"/>
                      <w:color w:val="000000"/>
                    </w:rPr>
                    <w:t>6.中腰:滑降功能。</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冬季作战服</w:t>
                  </w:r>
                </w:p>
                <w:p>
                  <w:pPr>
                    <w:pStyle w:val="null3"/>
                    <w:jc w:val="center"/>
                  </w:pPr>
                  <w:r>
                    <w:rPr>
                      <w:rFonts w:ascii="仿宋_GB2312" w:hAnsi="仿宋_GB2312" w:cs="仿宋_GB2312" w:eastAsia="仿宋_GB2312"/>
                      <w:sz w:val="24"/>
                      <w:color w:val="000000"/>
                    </w:rPr>
                    <w:t>（核心产品）</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609</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1.面料：精梳涤混格子布。</w:t>
                  </w:r>
                  <w:r>
                    <w:br/>
                  </w:r>
                  <w:r>
                    <w:rPr>
                      <w:rFonts w:ascii="仿宋_GB2312" w:hAnsi="仿宋_GB2312" w:cs="仿宋_GB2312" w:eastAsia="仿宋_GB2312"/>
                      <w:sz w:val="24"/>
                      <w:color w:val="000000"/>
                    </w:rPr>
                    <w:t>2.纤维成份：65%涤纶，35%精梳棉。</w:t>
                  </w:r>
                  <w:r>
                    <w:br/>
                  </w:r>
                  <w:r>
                    <w:rPr>
                      <w:rFonts w:ascii="仿宋_GB2312" w:hAnsi="仿宋_GB2312" w:cs="仿宋_GB2312" w:eastAsia="仿宋_GB2312"/>
                      <w:sz w:val="24"/>
                      <w:color w:val="000000"/>
                    </w:rPr>
                    <w:t>3.款式符合公安部制式特警冬战训服要求。</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w:t>
                  </w:r>
                  <w:r>
                    <w:rPr>
                      <w:rFonts w:ascii="仿宋_GB2312" w:hAnsi="仿宋_GB2312" w:cs="仿宋_GB2312" w:eastAsia="仿宋_GB2312"/>
                      <w:sz w:val="24"/>
                      <w:color w:val="000000"/>
                    </w:rPr>
                    <w:t>U盘</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290</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1.硬件标识:芯片序列号唯一，U盘外壳要求结实、耐用、不易磨损、不易毁坏、非易碎材质。</w:t>
                  </w:r>
                </w:p>
                <w:p>
                  <w:pPr>
                    <w:pStyle w:val="null3"/>
                    <w:jc w:val="left"/>
                  </w:pPr>
                  <w:r>
                    <w:rPr>
                      <w:rFonts w:ascii="仿宋_GB2312" w:hAnsi="仿宋_GB2312" w:cs="仿宋_GB2312" w:eastAsia="仿宋_GB2312"/>
                      <w:sz w:val="24"/>
                      <w:color w:val="000000"/>
                    </w:rPr>
                    <w:t>▲2.适配公安网一机两用系统，能通过一机两用系统，数字证书认证在公安网内进行注册。</w:t>
                  </w:r>
                </w:p>
                <w:p>
                  <w:pPr>
                    <w:pStyle w:val="null3"/>
                    <w:jc w:val="left"/>
                  </w:pPr>
                  <w:r>
                    <w:rPr>
                      <w:rFonts w:ascii="仿宋_GB2312" w:hAnsi="仿宋_GB2312" w:cs="仿宋_GB2312" w:eastAsia="仿宋_GB2312"/>
                      <w:sz w:val="24"/>
                      <w:color w:val="000000"/>
                    </w:rPr>
                    <w:t>▲3.支持通过一机两用系统升级 U盘镜像；支持通过一机两用系统重置U盘密码。</w:t>
                  </w:r>
                </w:p>
                <w:p>
                  <w:pPr>
                    <w:pStyle w:val="null3"/>
                    <w:jc w:val="left"/>
                  </w:pPr>
                  <w:r>
                    <w:rPr>
                      <w:rFonts w:ascii="仿宋_GB2312" w:hAnsi="仿宋_GB2312" w:cs="仿宋_GB2312" w:eastAsia="仿宋_GB2312"/>
                      <w:sz w:val="24"/>
                      <w:color w:val="000000"/>
                    </w:rPr>
                    <w:t>▲4.可以上传本地审计信息，通过安全优盘唯一序号可在“一机两用”系统内查询安全U盘使用记录。</w:t>
                  </w:r>
                </w:p>
                <w:p>
                  <w:pPr>
                    <w:pStyle w:val="null3"/>
                    <w:jc w:val="left"/>
                  </w:pPr>
                  <w:r>
                    <w:rPr>
                      <w:rFonts w:ascii="仿宋_GB2312" w:hAnsi="仿宋_GB2312" w:cs="仿宋_GB2312" w:eastAsia="仿宋_GB2312"/>
                      <w:sz w:val="24"/>
                      <w:color w:val="000000"/>
                    </w:rPr>
                    <w:t>5.U盘结构：安全U盘为三个区，保护区、日志区、用户数据区；保护区、日志区和用户数据区加密隐藏，在计算机上没有任何盘符显示，无法被计算机上的任何应用软件所访问，用户无法篡改、破坏，第三方程序/病毒/木马无法入侵、感染、窃取文件。</w:t>
                  </w:r>
                </w:p>
                <w:p>
                  <w:pPr>
                    <w:pStyle w:val="null3"/>
                    <w:jc w:val="left"/>
                  </w:pPr>
                  <w:r>
                    <w:rPr>
                      <w:rFonts w:ascii="仿宋_GB2312" w:hAnsi="仿宋_GB2312" w:cs="仿宋_GB2312" w:eastAsia="仿宋_GB2312"/>
                      <w:sz w:val="24"/>
                      <w:color w:val="000000"/>
                    </w:rPr>
                    <w:t>6.在公安网中为内网模式，依据管理策略，交换区读写方式可被设置为单向导入状态、单向导出状态、双向交换状态、禁止交换状态四种状态，在外网中为外网模式。</w:t>
                  </w:r>
                </w:p>
                <w:p>
                  <w:pPr>
                    <w:pStyle w:val="null3"/>
                    <w:jc w:val="left"/>
                  </w:pPr>
                  <w:r>
                    <w:rPr>
                      <w:rFonts w:ascii="仿宋_GB2312" w:hAnsi="仿宋_GB2312" w:cs="仿宋_GB2312" w:eastAsia="仿宋_GB2312"/>
                      <w:sz w:val="24"/>
                      <w:color w:val="000000"/>
                    </w:rPr>
                    <w:t>7.存储容量要求16G，必须支持双向交换，采用国产芯片。</w:t>
                  </w:r>
                </w:p>
                <w:p>
                  <w:pPr>
                    <w:pStyle w:val="null3"/>
                    <w:jc w:val="left"/>
                  </w:pPr>
                  <w:r>
                    <w:rPr>
                      <w:rFonts w:ascii="仿宋_GB2312" w:hAnsi="仿宋_GB2312" w:cs="仿宋_GB2312" w:eastAsia="仿宋_GB2312"/>
                      <w:sz w:val="24"/>
                      <w:color w:val="000000"/>
                    </w:rPr>
                    <w:t>8.兼容性:支持 WINDOWS 系列计算机，支持信创通用计算机。</w:t>
                  </w:r>
                </w:p>
                <w:p>
                  <w:pPr>
                    <w:pStyle w:val="null3"/>
                    <w:jc w:val="left"/>
                  </w:pPr>
                  <w:r>
                    <w:rPr>
                      <w:rFonts w:ascii="仿宋_GB2312" w:hAnsi="仿宋_GB2312" w:cs="仿宋_GB2312" w:eastAsia="仿宋_GB2312"/>
                      <w:sz w:val="24"/>
                      <w:color w:val="000000"/>
                    </w:rPr>
                    <w:t>9.使用 SMS4 加密存储，对全盘(包括文件系统)进行加密。</w:t>
                  </w:r>
                </w:p>
                <w:p>
                  <w:pPr>
                    <w:pStyle w:val="null3"/>
                    <w:jc w:val="left"/>
                  </w:pPr>
                  <w:r>
                    <w:rPr>
                      <w:rFonts w:ascii="仿宋_GB2312" w:hAnsi="仿宋_GB2312" w:cs="仿宋_GB2312" w:eastAsia="仿宋_GB2312"/>
                      <w:sz w:val="24"/>
                      <w:color w:val="000000"/>
                    </w:rPr>
                    <w:t>10.提供三年原厂售后服务保障。</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合同签订后30日历天内供货完毕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货物交付验收通过后，中标人提供合同金额全额发票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的名称、品牌、规格、型号、产地、数量进行检查。2、终验：所有货物(设备)安装、调试完毕，正常使用30个日历天后，由采购人进行终验 (最终验收) ，合格后签发《终验合格单》。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1、（1）质量要求：符合国家及行业相关标准并经采购人验收合格。（2）付款方式：货物交付验收通过后，中标人提供合同金额全额发票 ，达到付款条件起 30 日内，支付合同总金额的 100.00%。2、投标时投标人无需提供纸质版投标文件。中标人在领取中标（成交）通知书前将纸质版投标文件3份、电子版（U 盘）文件3份，打印盖章后提交至采购代理公司处，以便采购人进行留存备案等工作，中标人应保持投标文件纸质版内容与电子版内容完全一致，否则将承担一切法律责任。纸质版投标文件一律采用书籍（胶装）方式装订且单面或双面打印。3、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提供2024年度经审计的财务报告（成立时间至提交投标文件截止时间不足一年的可提供成立后任意时段的财务报表）或开标前近三个月内基本开户银行开具的资信证明。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营业执照或其他要求</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授权委托要求</w:t>
            </w:r>
          </w:p>
        </w:tc>
        <w:tc>
          <w:tcPr>
            <w:tcW w:type="dxa" w:w="332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财务状况要求</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提供2024年度经审计的财务报告（成立时间至提交投标文件截止时间不足一年的可提供成立后任意时段的财务报表）或开标前近三个月内基本开户银行开具的资信证明；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缴纳税收的要求</w:t>
            </w:r>
          </w:p>
        </w:tc>
        <w:tc>
          <w:tcPr>
            <w:tcW w:type="dxa" w:w="3322"/>
          </w:tcPr>
          <w:p>
            <w:pPr>
              <w:pStyle w:val="null3"/>
            </w:pPr>
            <w:r>
              <w:rPr>
                <w:rFonts w:ascii="仿宋_GB2312" w:hAnsi="仿宋_GB2312" w:cs="仿宋_GB2312" w:eastAsia="仿宋_GB2312"/>
              </w:rPr>
              <w:t>提供依法缴纳税收的良好记录（提供投标截止时间前六个月内任意一个月份的缴纳凭据复印件或扫描件并加盖单位公章。依法免税或开标前一年内零申报的投标人应提供相关证明文件）；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缴纳社会保障资金的要求</w:t>
            </w:r>
          </w:p>
        </w:tc>
        <w:tc>
          <w:tcPr>
            <w:tcW w:type="dxa" w:w="3322"/>
          </w:tcPr>
          <w:p>
            <w:pPr>
              <w:pStyle w:val="null3"/>
            </w:pPr>
            <w:r>
              <w:rPr>
                <w:rFonts w:ascii="仿宋_GB2312" w:hAnsi="仿宋_GB2312" w:cs="仿宋_GB2312" w:eastAsia="仿宋_GB2312"/>
              </w:rPr>
              <w:t>提供依法缴纳社会保障资金的良好记录（提供投标截止时间前六个月内任意一个月份的缴纳凭据复印件或扫描件并加盖单位公章。依法不需要缴纳社会保障资金的投标人应提供相关证明文件）；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无重大违法记录的要求</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投标保证金要求</w:t>
            </w:r>
          </w:p>
        </w:tc>
        <w:tc>
          <w:tcPr>
            <w:tcW w:type="dxa" w:w="3322"/>
          </w:tcPr>
          <w:p>
            <w:pPr>
              <w:pStyle w:val="null3"/>
            </w:pPr>
            <w:r>
              <w:rPr>
                <w:rFonts w:ascii="仿宋_GB2312" w:hAnsi="仿宋_GB2312" w:cs="仿宋_GB2312" w:eastAsia="仿宋_GB2312"/>
              </w:rPr>
              <w:t>提供投标保证金银行转账凭证及基本账户信息复印件（或扫描件）或金融机构、担保机构出具的保函复印件（或扫描件），复印件（或扫描件）均须加盖公章；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单位负责人为同一人或者存在直接控股、管理关系的不同投标人，不得参加同一合同项下的政府采购活动的要求</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具有履行合同所必需的设备和专业技术能力的要求</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中小企业声明函 承诺书.docx 技术部分.docx 其他相关资料.docx 商务响应表.docx 分项报价表.docx 选配件报价表.docx 投标函 残疾人福利性单位声明函 技术响应偏离表.docx 标的清单 投标文件封面 资格审查资料.docx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1、内容无重大缺漏项，报价唯一，且不能高于最高限价。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中小企业声明函 承诺书.docx 技术部分.docx 其他相关资料.docx 商务响应表.docx 分项报价表.docx 选配件报价表.docx 投标函 残疾人福利性单位声明函 技术响应偏离表.docx 标的清单 投标文件封面 资格审查资料.docx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法律、法规和招标文件规定的其他无效情形</w:t>
            </w:r>
          </w:p>
        </w:tc>
        <w:tc>
          <w:tcPr>
            <w:tcW w:type="dxa" w:w="1661"/>
          </w:tcPr>
          <w:p>
            <w:pPr>
              <w:pStyle w:val="null3"/>
            </w:pPr>
            <w:r>
              <w:rPr>
                <w:rFonts w:ascii="仿宋_GB2312" w:hAnsi="仿宋_GB2312" w:cs="仿宋_GB2312" w:eastAsia="仿宋_GB2312"/>
              </w:rPr>
              <w:t>开标一览表 业绩.docx 中小企业声明函 承诺书.docx 技术部分.docx 其他相关资料.docx 商务响应表.docx 分项报价表.docx 选配件报价表.docx 投标函 残疾人福利性单位声明函 技术响应偏离表.docx 标的清单 投标文件封面 资格审查资料.docx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1、对照招标文件，对技术参数和要求等内容做出的实质性响应，按其响应程度计分，产品品牌、规格、型号描述详细，性能全部满足招标文件得基本分（18分）。 标“▲”参数为重要指标，每负偏离一项扣1分。其余参数每负偏离一项扣0.5分, 扣完为止。 2、加分项（2分）：在基本分的基础上，响应产品技术参数经评标委员会认定确实优于招标文件规定的参数要求，并且对项目实施和应用有实质性提升的，根据其响应程度进行相应加分，每正偏离一项加0.5分，最多加2分。 注：投标人须按招标文件要求提供相应的证明材料（包括但不限于产品检测报告、合格证书等技术支持性文件），否则自行承担未提供证明材料导致技术参数被视为负偏离的风险。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包括但不限于：1.备货、供货方案；2.进度计划及组织协调方案；3.人员配备方案；4.验收方案；5.产品调换方案及应急预案。 二、评审标准 1.完整性：方案必须全面，对评审内容中的各项要求有详细描述； 2.可实施性：切合本项目实际情况，提出步骤清晰、合理的方案； 3.针对性：方案能够紧扣项目实际情况，内容科学合理。 三、赋分标准（满分15分） 1.备货、供货方案：每完全满足一个评审标准得1分，满分3分； 2.进度计划及组织协调方案：每完全满足一个评审标准得1分，满分3分； 3.人员配备方案：每完全满足一个评审标准得1分，满分3分。 4.验收方案：每完全满足一个评审标准得1分，满分3分。 5.产品调换方案及应急预案：每完全满足一个评审标准得1分，满分3分。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合法来源渠道证明</w:t>
            </w:r>
          </w:p>
        </w:tc>
        <w:tc>
          <w:tcPr>
            <w:tcW w:type="dxa" w:w="2492"/>
          </w:tcPr>
          <w:p>
            <w:pPr>
              <w:pStyle w:val="null3"/>
            </w:pPr>
            <w:r>
              <w:rPr>
                <w:rFonts w:ascii="仿宋_GB2312" w:hAnsi="仿宋_GB2312" w:cs="仿宋_GB2312" w:eastAsia="仿宋_GB2312"/>
              </w:rPr>
              <w:t>产品进货渠道正规，并能够提供产品说明书等相关资料。提供响应产品的合法来源渠道证明文件（不限于产品制造商授权、销售协议、代理协议、原厂授权等）每提供一个产品的得0.5分，最高得6分。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包括但不限于：1.质量保证措施；2.质量保障承诺。 二、评审标准 1.完整性：方案必须全面，对评审内容中的各项要求有详细描述； 2.可实施性：切合本项目实际情况，提出步骤清晰、合理的方案； 3.针对性：方案能够紧扣项目实际情况，内容科学合理。 三、赋分标准（满分6分） 1.质量保证措施：每完全满足一个评审标准得1分，满分3分； 2.质量保障承诺：每完全满足一个评审标准得1分，满分3分；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包括但不限于：1.售后服务机构及人员安排；2.售后服务保障措施；3.备品备件计划措施；4.应急响应措施；5.回访及跟踪计划。 二、评审标准 1.完整性：方案必须全面，对评审内容中的各项要求有详细描述； 2.可实施性：切合本项目实际情况，提出步骤清晰、合理的方案； 3.针对性：方案能够紧扣项目实际情况，内容科学合理。 三、赋分标准（满分15分） 1.售后服务机构及人员安排：每完全满足一个评审标准得1分，满分3分； 2.售后服务保障措施：每完全满足一个评审标准得1分，满分3分； 3.备品备件计划措施：每完全满足一个评审标准得1分，满分3分； 4.应急响应措施：每完全满足一个评审标准得1分，满分3分。 5.回访及跟踪计划：每完全满足一个评审标准得1分，满分3分。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投标文件对交货时间、质量保修范围和保修期、质量要求、付款方式、投标有效期等商务要求完全响应的计1分； 交货时间、质量保修范围和保修期每有一项优于招标文件加0.5分，最高加1分。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1、经资格审查及符合性评审合格的投标文件，其投标报价有效； 2、投标报价得分=(评标基准价／投标报价)×30%×100 3、评标基准价=各投标人报价中的最低价。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详见附件：技术响应偏离表.docx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