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BC2362">
      <w:pPr>
        <w:spacing w:line="360" w:lineRule="auto"/>
        <w:jc w:val="center"/>
        <w:outlineLvl w:val="0"/>
        <w:rPr>
          <w:rFonts w:hint="eastAsia" w:ascii="宋体" w:hAnsi="宋体" w:eastAsia="宋体" w:cs="宋体"/>
          <w:b/>
          <w:bCs/>
          <w:sz w:val="30"/>
          <w:szCs w:val="24"/>
          <w:highlight w:val="none"/>
        </w:rPr>
      </w:pPr>
      <w:bookmarkStart w:id="0" w:name="_Toc11230"/>
      <w:bookmarkStart w:id="1" w:name="_Toc1857"/>
    </w:p>
    <w:p w14:paraId="7895711A">
      <w:pPr>
        <w:spacing w:line="360" w:lineRule="auto"/>
        <w:jc w:val="center"/>
        <w:outlineLvl w:val="0"/>
        <w:rPr>
          <w:rFonts w:hint="eastAsia" w:ascii="宋体" w:hAnsi="宋体" w:eastAsia="宋体" w:cs="宋体"/>
          <w:b/>
          <w:bCs/>
          <w:sz w:val="30"/>
          <w:szCs w:val="24"/>
          <w:highlight w:val="none"/>
        </w:rPr>
      </w:pPr>
      <w:r>
        <w:rPr>
          <w:rFonts w:hint="eastAsia" w:ascii="宋体" w:hAnsi="宋体" w:eastAsia="宋体" w:cs="宋体"/>
          <w:b/>
          <w:bCs/>
          <w:sz w:val="30"/>
          <w:szCs w:val="24"/>
          <w:highlight w:val="none"/>
        </w:rPr>
        <w:t>政府采购合同</w:t>
      </w:r>
      <w:bookmarkEnd w:id="0"/>
      <w:bookmarkEnd w:id="1"/>
    </w:p>
    <w:p w14:paraId="072BAAAD">
      <w:pPr>
        <w:spacing w:line="360" w:lineRule="auto"/>
        <w:jc w:val="both"/>
        <w:rPr>
          <w:rFonts w:hint="eastAsia" w:ascii="宋体" w:hAnsi="宋体" w:eastAsia="宋体" w:cs="宋体"/>
          <w:b/>
          <w:sz w:val="28"/>
          <w:szCs w:val="28"/>
          <w:highlight w:val="none"/>
        </w:rPr>
      </w:pPr>
    </w:p>
    <w:p w14:paraId="3757C6F7">
      <w:pPr>
        <w:spacing w:line="360" w:lineRule="auto"/>
        <w:jc w:val="center"/>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u w:val="single"/>
          <w:lang w:val="en-US" w:eastAsia="zh-CN"/>
        </w:rPr>
        <w:t xml:space="preserve">                  </w:t>
      </w:r>
      <w:r>
        <w:rPr>
          <w:rFonts w:hint="eastAsia" w:ascii="宋体" w:hAnsi="宋体" w:cs="宋体"/>
          <w:b/>
          <w:sz w:val="28"/>
          <w:szCs w:val="28"/>
          <w:highlight w:val="none"/>
          <w:u w:val="single"/>
          <w:lang w:val="en-US" w:eastAsia="zh-CN"/>
        </w:rPr>
        <w:t xml:space="preserve">         </w:t>
      </w:r>
      <w:r>
        <w:rPr>
          <w:rFonts w:hint="eastAsia" w:ascii="宋体" w:hAnsi="宋体" w:eastAsia="宋体" w:cs="宋体"/>
          <w:b/>
          <w:sz w:val="28"/>
          <w:szCs w:val="28"/>
          <w:highlight w:val="none"/>
          <w:u w:val="single"/>
          <w:lang w:val="en-US" w:eastAsia="zh-CN"/>
        </w:rPr>
        <w:t xml:space="preserve">    </w:t>
      </w:r>
      <w:r>
        <w:rPr>
          <w:rFonts w:hint="eastAsia" w:ascii="宋体" w:hAnsi="宋体" w:eastAsia="宋体" w:cs="宋体"/>
          <w:b/>
          <w:sz w:val="28"/>
          <w:szCs w:val="28"/>
          <w:highlight w:val="none"/>
          <w:lang w:eastAsia="zh-CN"/>
        </w:rPr>
        <w:t>（</w:t>
      </w:r>
      <w:r>
        <w:rPr>
          <w:rFonts w:hint="eastAsia" w:ascii="宋体" w:hAnsi="宋体" w:cs="宋体"/>
          <w:b/>
          <w:sz w:val="28"/>
          <w:szCs w:val="28"/>
          <w:highlight w:val="none"/>
          <w:lang w:val="en-US" w:eastAsia="zh-CN"/>
        </w:rPr>
        <w:t>项目</w:t>
      </w:r>
      <w:r>
        <w:rPr>
          <w:rFonts w:hint="eastAsia" w:ascii="宋体" w:hAnsi="宋体" w:eastAsia="宋体" w:cs="宋体"/>
          <w:b/>
          <w:sz w:val="28"/>
          <w:szCs w:val="28"/>
          <w:highlight w:val="none"/>
          <w:lang w:val="en-US" w:eastAsia="zh-CN"/>
        </w:rPr>
        <w:t>名称</w:t>
      </w:r>
      <w:r>
        <w:rPr>
          <w:rFonts w:hint="eastAsia" w:ascii="宋体" w:hAnsi="宋体" w:eastAsia="宋体" w:cs="宋体"/>
          <w:b/>
          <w:sz w:val="28"/>
          <w:szCs w:val="28"/>
          <w:highlight w:val="none"/>
          <w:lang w:eastAsia="zh-CN"/>
        </w:rPr>
        <w:t>）</w:t>
      </w:r>
    </w:p>
    <w:p w14:paraId="2B657B3D">
      <w:pPr>
        <w:spacing w:line="360" w:lineRule="auto"/>
        <w:jc w:val="both"/>
        <w:rPr>
          <w:rFonts w:hint="eastAsia" w:ascii="宋体" w:hAnsi="宋体" w:eastAsia="宋体" w:cs="宋体"/>
          <w:b/>
          <w:sz w:val="28"/>
          <w:szCs w:val="28"/>
          <w:highlight w:val="none"/>
        </w:rPr>
      </w:pPr>
      <w:r>
        <w:rPr>
          <w:rFonts w:hint="eastAsia" w:ascii="宋体" w:hAnsi="宋体" w:cs="宋体"/>
          <w:b/>
          <w:sz w:val="28"/>
          <w:szCs w:val="28"/>
          <w:highlight w:val="none"/>
          <w:lang w:val="en-US" w:eastAsia="zh-CN"/>
        </w:rPr>
        <w:t xml:space="preserve"> </w:t>
      </w:r>
    </w:p>
    <w:p w14:paraId="7983B2E7">
      <w:pPr>
        <w:spacing w:line="360" w:lineRule="auto"/>
        <w:jc w:val="center"/>
        <w:rPr>
          <w:rFonts w:hint="eastAsia" w:ascii="宋体" w:hAnsi="宋体" w:eastAsia="宋体" w:cs="宋体"/>
          <w:b/>
          <w:sz w:val="28"/>
          <w:szCs w:val="28"/>
          <w:highlight w:val="none"/>
        </w:rPr>
      </w:pPr>
    </w:p>
    <w:p w14:paraId="16DCEA28">
      <w:pPr>
        <w:pStyle w:val="7"/>
        <w:rPr>
          <w:rFonts w:hint="eastAsia" w:ascii="宋体" w:hAnsi="宋体" w:eastAsia="宋体" w:cs="宋体"/>
          <w:highlight w:val="none"/>
        </w:rPr>
      </w:pPr>
    </w:p>
    <w:p w14:paraId="642279E5">
      <w:pPr>
        <w:spacing w:line="360" w:lineRule="auto"/>
        <w:jc w:val="center"/>
        <w:rPr>
          <w:rFonts w:hint="eastAsia" w:ascii="宋体" w:hAnsi="宋体" w:eastAsia="宋体" w:cs="宋体"/>
          <w:b/>
          <w:sz w:val="28"/>
          <w:szCs w:val="28"/>
          <w:highlight w:val="none"/>
        </w:rPr>
      </w:pPr>
    </w:p>
    <w:p w14:paraId="1E5DA5AD">
      <w:pPr>
        <w:spacing w:line="360" w:lineRule="auto"/>
        <w:jc w:val="center"/>
        <w:rPr>
          <w:rFonts w:hint="eastAsia" w:ascii="宋体" w:hAnsi="宋体" w:eastAsia="宋体" w:cs="宋体"/>
          <w:b/>
          <w:bCs/>
          <w:sz w:val="28"/>
          <w:szCs w:val="28"/>
          <w:highlight w:val="none"/>
        </w:rPr>
      </w:pPr>
      <w:r>
        <w:rPr>
          <w:rFonts w:hint="eastAsia" w:ascii="宋体" w:hAnsi="宋体" w:eastAsia="宋体" w:cs="宋体"/>
          <w:b/>
          <w:sz w:val="28"/>
          <w:szCs w:val="28"/>
          <w:highlight w:val="none"/>
        </w:rPr>
        <w:t>合同编号：</w:t>
      </w:r>
      <w:r>
        <w:rPr>
          <w:rFonts w:hint="eastAsia" w:ascii="宋体" w:hAnsi="宋体" w:eastAsia="宋体" w:cs="宋体"/>
          <w:b/>
          <w:bCs/>
          <w:sz w:val="28"/>
          <w:szCs w:val="28"/>
          <w:highlight w:val="none"/>
        </w:rPr>
        <w:t>XXXX</w:t>
      </w:r>
    </w:p>
    <w:p w14:paraId="15863603">
      <w:pPr>
        <w:spacing w:line="360" w:lineRule="auto"/>
        <w:rPr>
          <w:rFonts w:hint="eastAsia" w:ascii="宋体" w:hAnsi="宋体" w:eastAsia="宋体" w:cs="宋体"/>
          <w:b/>
          <w:sz w:val="28"/>
          <w:szCs w:val="28"/>
          <w:highlight w:val="none"/>
        </w:rPr>
      </w:pPr>
    </w:p>
    <w:p w14:paraId="1E3064B4">
      <w:pPr>
        <w:spacing w:line="360" w:lineRule="auto"/>
        <w:rPr>
          <w:rFonts w:hint="eastAsia" w:ascii="宋体" w:hAnsi="宋体" w:eastAsia="宋体" w:cs="宋体"/>
          <w:b/>
          <w:sz w:val="28"/>
          <w:szCs w:val="28"/>
          <w:highlight w:val="none"/>
        </w:rPr>
      </w:pPr>
    </w:p>
    <w:p w14:paraId="244EE62D">
      <w:pPr>
        <w:spacing w:line="360" w:lineRule="auto"/>
        <w:rPr>
          <w:rFonts w:hint="eastAsia" w:ascii="宋体" w:hAnsi="宋体" w:eastAsia="宋体" w:cs="宋体"/>
          <w:b/>
          <w:sz w:val="28"/>
          <w:szCs w:val="28"/>
          <w:highlight w:val="none"/>
        </w:rPr>
      </w:pPr>
    </w:p>
    <w:p w14:paraId="5EC4E334">
      <w:pPr>
        <w:spacing w:line="360" w:lineRule="auto"/>
        <w:rPr>
          <w:rFonts w:hint="eastAsia" w:ascii="宋体" w:hAnsi="宋体" w:eastAsia="宋体" w:cs="宋体"/>
          <w:b/>
          <w:sz w:val="28"/>
          <w:szCs w:val="28"/>
          <w:highlight w:val="none"/>
        </w:rPr>
      </w:pPr>
    </w:p>
    <w:p w14:paraId="3AC0138D">
      <w:pPr>
        <w:pStyle w:val="2"/>
        <w:rPr>
          <w:rFonts w:hint="eastAsia"/>
          <w:highlight w:val="none"/>
        </w:rPr>
      </w:pPr>
    </w:p>
    <w:p w14:paraId="7A6067D0">
      <w:pPr>
        <w:spacing w:line="360" w:lineRule="auto"/>
        <w:rPr>
          <w:rFonts w:hint="eastAsia" w:ascii="宋体" w:hAnsi="宋体" w:eastAsia="宋体" w:cs="宋体"/>
          <w:b/>
          <w:sz w:val="28"/>
          <w:szCs w:val="28"/>
          <w:highlight w:val="none"/>
        </w:rPr>
      </w:pPr>
    </w:p>
    <w:p w14:paraId="3E0BB146">
      <w:pPr>
        <w:spacing w:line="360" w:lineRule="auto"/>
        <w:rPr>
          <w:rFonts w:hint="eastAsia" w:ascii="宋体" w:hAnsi="宋体" w:eastAsia="宋体" w:cs="宋体"/>
          <w:b/>
          <w:sz w:val="28"/>
          <w:szCs w:val="28"/>
          <w:highlight w:val="none"/>
        </w:rPr>
      </w:pPr>
    </w:p>
    <w:p w14:paraId="3C950208">
      <w:pPr>
        <w:spacing w:line="360" w:lineRule="auto"/>
        <w:rPr>
          <w:rFonts w:hint="eastAsia" w:ascii="宋体" w:hAnsi="宋体" w:eastAsia="宋体" w:cs="宋体"/>
          <w:b/>
          <w:sz w:val="28"/>
          <w:szCs w:val="28"/>
          <w:highlight w:val="none"/>
        </w:rPr>
      </w:pPr>
    </w:p>
    <w:p w14:paraId="6F377DD5">
      <w:pPr>
        <w:spacing w:line="360" w:lineRule="auto"/>
        <w:rPr>
          <w:rFonts w:hint="eastAsia" w:ascii="宋体" w:hAnsi="宋体" w:eastAsia="宋体" w:cs="宋体"/>
          <w:b/>
          <w:sz w:val="28"/>
          <w:szCs w:val="28"/>
          <w:highlight w:val="none"/>
        </w:rPr>
      </w:pPr>
    </w:p>
    <w:p w14:paraId="0ADEC97D">
      <w:pPr>
        <w:spacing w:line="360" w:lineRule="auto"/>
        <w:rPr>
          <w:rFonts w:hint="eastAsia" w:ascii="宋体" w:hAnsi="宋体" w:eastAsia="宋体" w:cs="宋体"/>
          <w:b/>
          <w:sz w:val="28"/>
          <w:szCs w:val="28"/>
          <w:highlight w:val="none"/>
        </w:rPr>
      </w:pPr>
    </w:p>
    <w:p w14:paraId="6FDA191B">
      <w:pPr>
        <w:adjustRightInd w:val="0"/>
        <w:snapToGrid w:val="0"/>
        <w:spacing w:line="360" w:lineRule="auto"/>
        <w:jc w:val="center"/>
        <w:rPr>
          <w:rFonts w:hint="eastAsia" w:ascii="宋体" w:hAnsi="宋体" w:eastAsia="宋体" w:cs="宋体"/>
          <w:b/>
          <w:spacing w:val="23"/>
          <w:sz w:val="28"/>
          <w:szCs w:val="28"/>
          <w:highlight w:val="none"/>
        </w:rPr>
      </w:pPr>
      <w:r>
        <w:rPr>
          <w:rFonts w:hint="eastAsia" w:ascii="宋体" w:hAnsi="宋体" w:eastAsia="宋体" w:cs="宋体"/>
          <w:b/>
          <w:spacing w:val="23"/>
          <w:sz w:val="28"/>
          <w:szCs w:val="28"/>
          <w:highlight w:val="none"/>
        </w:rPr>
        <w:t>甲方(</w:t>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b/>
          <w:spacing w:val="23"/>
          <w:sz w:val="28"/>
          <w:szCs w:val="28"/>
          <w:highlight w:val="none"/>
        </w:rPr>
        <w:t>采购人</w:t>
      </w:r>
      <w:r>
        <w:rPr>
          <w:rFonts w:hint="eastAsia" w:ascii="宋体" w:hAnsi="宋体" w:eastAsia="宋体" w:cs="宋体"/>
          <w:b/>
          <w:spacing w:val="23"/>
          <w:sz w:val="28"/>
          <w:szCs w:val="28"/>
          <w:highlight w:val="none"/>
        </w:rPr>
        <w:fldChar w:fldCharType="end"/>
      </w:r>
      <w:r>
        <w:rPr>
          <w:rFonts w:hint="eastAsia" w:ascii="宋体" w:hAnsi="宋体" w:eastAsia="宋体" w:cs="宋体"/>
          <w:b/>
          <w:spacing w:val="23"/>
          <w:sz w:val="28"/>
          <w:szCs w:val="28"/>
          <w:highlight w:val="none"/>
        </w:rPr>
        <w:t>)：</w:t>
      </w:r>
      <w:r>
        <w:rPr>
          <w:rFonts w:hint="eastAsia" w:ascii="宋体" w:hAnsi="宋体" w:eastAsia="宋体" w:cs="宋体"/>
          <w:spacing w:val="23"/>
          <w:sz w:val="28"/>
          <w:szCs w:val="28"/>
          <w:highlight w:val="none"/>
          <w:u w:val="single"/>
        </w:rPr>
        <w:t></w:t>
      </w:r>
    </w:p>
    <w:p w14:paraId="4C89519C">
      <w:pPr>
        <w:adjustRightInd w:val="0"/>
        <w:snapToGrid w:val="0"/>
        <w:spacing w:line="360" w:lineRule="auto"/>
        <w:jc w:val="center"/>
        <w:rPr>
          <w:rFonts w:hint="eastAsia" w:ascii="宋体" w:hAnsi="宋体" w:eastAsia="宋体" w:cs="宋体"/>
          <w:spacing w:val="23"/>
          <w:sz w:val="28"/>
          <w:szCs w:val="28"/>
          <w:highlight w:val="none"/>
          <w:u w:val="singl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b/>
          <w:spacing w:val="23"/>
          <w:sz w:val="28"/>
          <w:szCs w:val="28"/>
          <w:highlight w:val="none"/>
        </w:rPr>
        <w:t>乙方</w:t>
      </w:r>
      <w:r>
        <w:rPr>
          <w:rFonts w:hint="eastAsia" w:ascii="宋体" w:hAnsi="宋体" w:eastAsia="宋体" w:cs="宋体"/>
          <w:b/>
          <w:spacing w:val="23"/>
          <w:sz w:val="28"/>
          <w:szCs w:val="28"/>
          <w:highlight w:val="none"/>
        </w:rPr>
        <w:fldChar w:fldCharType="end"/>
      </w:r>
      <w:r>
        <w:rPr>
          <w:rFonts w:hint="eastAsia" w:ascii="宋体" w:hAnsi="宋体" w:eastAsia="宋体" w:cs="宋体"/>
          <w:b/>
          <w:spacing w:val="23"/>
          <w:sz w:val="28"/>
          <w:szCs w:val="28"/>
          <w:highlight w:val="none"/>
        </w:rPr>
        <w:t>(</w:t>
      </w:r>
      <w:r>
        <w:rPr>
          <w:rFonts w:hint="eastAsia" w:ascii="宋体" w:hAnsi="宋体" w:cs="宋体"/>
          <w:b/>
          <w:spacing w:val="23"/>
          <w:sz w:val="28"/>
          <w:szCs w:val="28"/>
          <w:highlight w:val="none"/>
          <w:lang w:val="en-US" w:eastAsia="zh-CN"/>
        </w:rPr>
        <w:t>投标人</w:t>
      </w:r>
      <w:r>
        <w:rPr>
          <w:rFonts w:hint="eastAsia" w:ascii="宋体" w:hAnsi="宋体" w:eastAsia="宋体" w:cs="宋体"/>
          <w:b/>
          <w:spacing w:val="23"/>
          <w:sz w:val="28"/>
          <w:szCs w:val="28"/>
          <w:highlight w:val="none"/>
        </w:rPr>
        <w:t>)：</w:t>
      </w:r>
      <w:r>
        <w:rPr>
          <w:rFonts w:hint="eastAsia" w:ascii="宋体" w:hAnsi="宋体" w:eastAsia="宋体" w:cs="宋体"/>
          <w:spacing w:val="23"/>
          <w:sz w:val="28"/>
          <w:szCs w:val="28"/>
          <w:highlight w:val="none"/>
          <w:u w:val="single"/>
        </w:rPr>
        <w:t></w:t>
      </w:r>
    </w:p>
    <w:p w14:paraId="3172847F">
      <w:pPr>
        <w:adjustRightInd w:val="0"/>
        <w:snapToGrid w:val="0"/>
        <w:spacing w:line="360" w:lineRule="auto"/>
        <w:jc w:val="center"/>
        <w:rPr>
          <w:rFonts w:hint="eastAsia" w:ascii="宋体" w:hAnsi="宋体" w:eastAsia="宋体" w:cs="宋体"/>
          <w:b/>
          <w:spacing w:val="23"/>
          <w:sz w:val="28"/>
          <w:szCs w:val="28"/>
          <w:highlight w:val="none"/>
        </w:rPr>
      </w:pPr>
      <w:r>
        <w:rPr>
          <w:rFonts w:hint="eastAsia" w:ascii="宋体" w:hAnsi="宋体" w:eastAsia="宋体" w:cs="宋体"/>
          <w:b/>
          <w:spacing w:val="23"/>
          <w:sz w:val="28"/>
          <w:szCs w:val="28"/>
          <w:highlight w:val="none"/>
        </w:rPr>
        <w:t>签订时间：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28"/>
          <w:szCs w:val="28"/>
          <w:highlight w:val="none"/>
        </w:rPr>
        <w:t>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28"/>
          <w:szCs w:val="28"/>
          <w:highlight w:val="none"/>
        </w:rPr>
        <w:t>月</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28"/>
          <w:szCs w:val="28"/>
          <w:highlight w:val="none"/>
        </w:rPr>
        <w:t>日</w:t>
      </w:r>
    </w:p>
    <w:p w14:paraId="6ACD5B21">
      <w:pPr>
        <w:widowControl/>
        <w:spacing w:line="360" w:lineRule="auto"/>
        <w:ind w:firstLine="562" w:firstLineChars="200"/>
        <w:jc w:val="center"/>
        <w:rPr>
          <w:rFonts w:hint="eastAsia" w:ascii="宋体" w:hAnsi="宋体" w:eastAsia="宋体" w:cs="宋体"/>
          <w:b/>
          <w:sz w:val="28"/>
          <w:szCs w:val="28"/>
          <w:highlight w:val="none"/>
        </w:rPr>
      </w:pPr>
    </w:p>
    <w:p w14:paraId="26D62E47">
      <w:pPr>
        <w:widowControl/>
        <w:spacing w:line="360" w:lineRule="auto"/>
        <w:ind w:firstLine="562" w:firstLineChars="200"/>
        <w:jc w:val="center"/>
        <w:rPr>
          <w:rFonts w:hint="eastAsia" w:ascii="宋体" w:hAnsi="宋体" w:eastAsia="宋体" w:cs="宋体"/>
          <w:b/>
          <w:sz w:val="28"/>
          <w:szCs w:val="28"/>
          <w:highlight w:val="none"/>
        </w:rPr>
      </w:pPr>
    </w:p>
    <w:p w14:paraId="11CE631B">
      <w:pPr>
        <w:pStyle w:val="2"/>
        <w:rPr>
          <w:rFonts w:hint="eastAsia"/>
          <w:highlight w:val="none"/>
        </w:rPr>
      </w:pPr>
    </w:p>
    <w:p w14:paraId="0232901A">
      <w:pPr>
        <w:widowControl/>
        <w:spacing w:line="360" w:lineRule="auto"/>
        <w:ind w:firstLine="562" w:firstLineChars="200"/>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合同范本</w:t>
      </w:r>
    </w:p>
    <w:p w14:paraId="68E451C3">
      <w:pPr>
        <w:pStyle w:val="5"/>
        <w:rPr>
          <w:rFonts w:hint="eastAsia"/>
          <w:highlight w:val="none"/>
        </w:rPr>
      </w:pPr>
    </w:p>
    <w:p w14:paraId="7E108D1B">
      <w:pPr>
        <w:pStyle w:val="10"/>
        <w:spacing w:line="360" w:lineRule="auto"/>
        <w:ind w:firstLine="48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采购人（甲方）：</w:t>
      </w:r>
      <w:r>
        <w:rPr>
          <w:rFonts w:hint="eastAsia" w:ascii="宋体" w:hAnsi="宋体" w:cs="宋体"/>
          <w:sz w:val="24"/>
          <w:szCs w:val="24"/>
          <w:highlight w:val="none"/>
          <w:u w:val="single"/>
          <w:lang w:val="en-US" w:eastAsia="zh-CN"/>
        </w:rPr>
        <w:t xml:space="preserve">                        </w:t>
      </w:r>
      <w:r>
        <w:rPr>
          <w:rFonts w:hint="eastAsia" w:ascii="宋体" w:hAnsi="宋体" w:cs="宋体"/>
          <w:color w:val="FFFFFF" w:themeColor="background1"/>
          <w:sz w:val="24"/>
          <w:szCs w:val="24"/>
          <w:highlight w:val="none"/>
          <w:u w:val="single"/>
          <w:lang w:eastAsia="zh-CN"/>
          <w14:textFill>
            <w14:solidFill>
              <w14:schemeClr w14:val="bg1"/>
            </w14:solidFill>
          </w14:textFill>
        </w:rPr>
        <w:t>、</w:t>
      </w:r>
    </w:p>
    <w:p w14:paraId="1A3734DD">
      <w:pPr>
        <w:pStyle w:val="10"/>
        <w:spacing w:line="360" w:lineRule="auto"/>
        <w:ind w:firstLine="480"/>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lang w:val="en-US" w:eastAsia="zh-CN"/>
        </w:rPr>
        <w:t>投标人</w:t>
      </w:r>
      <w:r>
        <w:rPr>
          <w:rFonts w:hint="eastAsia" w:ascii="宋体" w:hAnsi="宋体" w:eastAsia="宋体" w:cs="宋体"/>
          <w:sz w:val="24"/>
          <w:szCs w:val="24"/>
          <w:highlight w:val="none"/>
        </w:rPr>
        <w:t>（乙方）：</w:t>
      </w:r>
      <w:r>
        <w:rPr>
          <w:rFonts w:hint="eastAsia" w:ascii="宋体" w:hAnsi="宋体" w:cs="宋体"/>
          <w:sz w:val="24"/>
          <w:szCs w:val="24"/>
          <w:highlight w:val="none"/>
          <w:u w:val="single"/>
          <w:lang w:val="en-US" w:eastAsia="zh-CN"/>
        </w:rPr>
        <w:t xml:space="preserve">                        </w:t>
      </w:r>
      <w:r>
        <w:rPr>
          <w:rFonts w:hint="eastAsia" w:ascii="宋体" w:hAnsi="宋体" w:cs="宋体"/>
          <w:color w:val="FFFFFF" w:themeColor="background1"/>
          <w:sz w:val="24"/>
          <w:szCs w:val="24"/>
          <w:highlight w:val="none"/>
          <w:u w:val="single"/>
          <w:lang w:val="en-US" w:eastAsia="zh-CN"/>
          <w14:textFill>
            <w14:solidFill>
              <w14:schemeClr w14:val="bg1"/>
            </w14:solidFill>
          </w14:textFill>
        </w:rPr>
        <w:t>、</w:t>
      </w:r>
    </w:p>
    <w:p w14:paraId="3F5A09A9">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中华人民共和国政府采购法实施条例</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《中华人民共和国民法典》和</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项目名称、</w:t>
      </w:r>
      <w:r>
        <w:rPr>
          <w:rFonts w:hint="eastAsia" w:ascii="宋体" w:hAnsi="宋体" w:eastAsia="宋体" w:cs="宋体"/>
          <w:sz w:val="24"/>
          <w:szCs w:val="24"/>
          <w:highlight w:val="none"/>
        </w:rPr>
        <w:t>项目编号）的招标文件、投标文件等有关规定，为确保甲方采购项目的顺利实施，甲、乙双方在平等自愿原则下签订本合同，并共同遵守如下条款：</w:t>
      </w:r>
    </w:p>
    <w:p w14:paraId="29810E79">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b/>
          <w:bCs/>
          <w:sz w:val="24"/>
          <w:szCs w:val="24"/>
          <w:highlight w:val="none"/>
        </w:rPr>
        <w:t>第一条</w:t>
      </w:r>
      <w:r>
        <w:rPr>
          <w:rFonts w:hint="eastAsia" w:ascii="宋体" w:hAnsi="宋体" w:cs="宋体"/>
          <w:b/>
          <w:bCs/>
          <w:sz w:val="24"/>
          <w:szCs w:val="24"/>
          <w:highlight w:val="none"/>
          <w:lang w:val="en-US" w:eastAsia="zh-CN"/>
        </w:rPr>
        <w:t xml:space="preserve"> </w:t>
      </w:r>
      <w:r>
        <w:rPr>
          <w:rFonts w:hint="eastAsia" w:ascii="宋体" w:hAnsi="宋体" w:eastAsia="宋体" w:cs="宋体"/>
          <w:b/>
          <w:bCs/>
          <w:sz w:val="24"/>
          <w:szCs w:val="24"/>
          <w:highlight w:val="none"/>
        </w:rPr>
        <w:t>合同标的及数量</w:t>
      </w:r>
    </w:p>
    <w:p w14:paraId="58CB12BF">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乙方向甲方提供下列货物（产品）：</w:t>
      </w:r>
    </w:p>
    <w:p w14:paraId="17642602">
      <w:pPr>
        <w:pStyle w:val="10"/>
        <w:spacing w:line="360" w:lineRule="auto"/>
        <w:ind w:firstLine="48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供货一览表</w:t>
      </w:r>
    </w:p>
    <w:tbl>
      <w:tblPr>
        <w:tblStyle w:val="8"/>
        <w:tblpPr w:leftFromText="180" w:rightFromText="180" w:vertAnchor="text" w:horzAnchor="page" w:tblpX="1521" w:tblpY="241"/>
        <w:tblOverlap w:val="never"/>
        <w:tblW w:w="9019" w:type="dxa"/>
        <w:tblInd w:w="0" w:type="dxa"/>
        <w:tblLayout w:type="fixed"/>
        <w:tblCellMar>
          <w:top w:w="0" w:type="dxa"/>
          <w:left w:w="28" w:type="dxa"/>
          <w:bottom w:w="0" w:type="dxa"/>
          <w:right w:w="28" w:type="dxa"/>
        </w:tblCellMar>
      </w:tblPr>
      <w:tblGrid>
        <w:gridCol w:w="1056"/>
        <w:gridCol w:w="487"/>
        <w:gridCol w:w="1493"/>
        <w:gridCol w:w="1367"/>
        <w:gridCol w:w="1366"/>
        <w:gridCol w:w="1334"/>
        <w:gridCol w:w="983"/>
        <w:gridCol w:w="933"/>
      </w:tblGrid>
      <w:tr w14:paraId="6EDFF54C">
        <w:tblPrEx>
          <w:tblCellMar>
            <w:top w:w="0" w:type="dxa"/>
            <w:left w:w="28" w:type="dxa"/>
            <w:bottom w:w="0" w:type="dxa"/>
            <w:right w:w="28" w:type="dxa"/>
          </w:tblCellMar>
        </w:tblPrEx>
        <w:trPr>
          <w:trHeight w:val="1196" w:hRule="atLeast"/>
        </w:trPr>
        <w:tc>
          <w:tcPr>
            <w:tcW w:w="1056" w:type="dxa"/>
            <w:vMerge w:val="restart"/>
            <w:tcBorders>
              <w:top w:val="single" w:color="auto" w:sz="6" w:space="0"/>
              <w:left w:val="single" w:color="auto" w:sz="6" w:space="0"/>
              <w:right w:val="single" w:color="auto" w:sz="4" w:space="0"/>
            </w:tcBorders>
            <w:vAlign w:val="center"/>
          </w:tcPr>
          <w:p w14:paraId="796B4044">
            <w:pPr>
              <w:topLinePunct w:val="0"/>
              <w:bidi w:val="0"/>
              <w:spacing w:line="360" w:lineRule="auto"/>
              <w:jc w:val="left"/>
              <w:rPr>
                <w:rFonts w:ascii="宋体" w:hAnsi="宋体"/>
                <w:sz w:val="22"/>
                <w:highlight w:val="none"/>
              </w:rPr>
            </w:pPr>
            <w:r>
              <w:rPr>
                <w:rFonts w:hint="eastAsia" w:ascii="宋体" w:hAnsi="宋体"/>
                <w:sz w:val="22"/>
                <w:highlight w:val="none"/>
              </w:rPr>
              <w:t>产品费用</w:t>
            </w:r>
          </w:p>
        </w:tc>
        <w:tc>
          <w:tcPr>
            <w:tcW w:w="487" w:type="dxa"/>
            <w:tcBorders>
              <w:top w:val="single" w:color="auto" w:sz="6" w:space="0"/>
              <w:left w:val="single" w:color="auto" w:sz="4" w:space="0"/>
              <w:bottom w:val="single" w:color="auto" w:sz="6" w:space="0"/>
            </w:tcBorders>
            <w:vAlign w:val="center"/>
          </w:tcPr>
          <w:p w14:paraId="56EE1D3D">
            <w:pPr>
              <w:topLinePunct w:val="0"/>
              <w:bidi w:val="0"/>
              <w:spacing w:after="120" w:line="360" w:lineRule="auto"/>
              <w:jc w:val="center"/>
              <w:rPr>
                <w:rFonts w:ascii="宋体" w:hAnsi="宋体"/>
                <w:sz w:val="22"/>
                <w:highlight w:val="none"/>
              </w:rPr>
            </w:pPr>
            <w:r>
              <w:rPr>
                <w:rFonts w:hint="eastAsia" w:ascii="宋体" w:hAnsi="宋体"/>
                <w:sz w:val="22"/>
                <w:highlight w:val="none"/>
              </w:rPr>
              <w:t>序号</w:t>
            </w:r>
          </w:p>
        </w:tc>
        <w:tc>
          <w:tcPr>
            <w:tcW w:w="1493" w:type="dxa"/>
            <w:tcBorders>
              <w:top w:val="single" w:color="auto" w:sz="6" w:space="0"/>
              <w:left w:val="single" w:color="auto" w:sz="6" w:space="0"/>
              <w:bottom w:val="single" w:color="auto" w:sz="6" w:space="0"/>
              <w:right w:val="single" w:color="auto" w:sz="6" w:space="0"/>
            </w:tcBorders>
            <w:vAlign w:val="center"/>
          </w:tcPr>
          <w:p w14:paraId="126D484E">
            <w:pPr>
              <w:topLinePunct w:val="0"/>
              <w:bidi w:val="0"/>
              <w:spacing w:after="120" w:line="360" w:lineRule="auto"/>
              <w:jc w:val="center"/>
              <w:rPr>
                <w:rFonts w:ascii="宋体" w:hAnsi="宋体"/>
                <w:sz w:val="22"/>
                <w:highlight w:val="none"/>
              </w:rPr>
            </w:pPr>
            <w:r>
              <w:rPr>
                <w:rFonts w:hint="eastAsia" w:ascii="宋体" w:hAnsi="宋体"/>
                <w:sz w:val="22"/>
                <w:highlight w:val="none"/>
                <w:lang w:val="en-US" w:eastAsia="zh-CN"/>
              </w:rPr>
              <w:t>货物</w:t>
            </w:r>
            <w:r>
              <w:rPr>
                <w:rFonts w:hint="eastAsia" w:ascii="宋体" w:hAnsi="宋体"/>
                <w:sz w:val="22"/>
                <w:highlight w:val="none"/>
              </w:rPr>
              <w:t>名称</w:t>
            </w:r>
          </w:p>
        </w:tc>
        <w:tc>
          <w:tcPr>
            <w:tcW w:w="1367" w:type="dxa"/>
            <w:tcBorders>
              <w:top w:val="single" w:color="auto" w:sz="6" w:space="0"/>
              <w:left w:val="single" w:color="auto" w:sz="6" w:space="0"/>
              <w:bottom w:val="single" w:color="auto" w:sz="6" w:space="0"/>
              <w:right w:val="single" w:color="auto" w:sz="6" w:space="0"/>
            </w:tcBorders>
            <w:vAlign w:val="center"/>
          </w:tcPr>
          <w:p w14:paraId="4830F74B">
            <w:pPr>
              <w:topLinePunct w:val="0"/>
              <w:bidi w:val="0"/>
              <w:spacing w:after="120" w:line="240" w:lineRule="auto"/>
              <w:jc w:val="center"/>
              <w:rPr>
                <w:rFonts w:hint="eastAsia" w:ascii="宋体" w:hAnsi="宋体"/>
                <w:sz w:val="22"/>
                <w:highlight w:val="none"/>
                <w:lang w:val="en-US" w:eastAsia="zh-CN"/>
              </w:rPr>
            </w:pPr>
            <w:r>
              <w:rPr>
                <w:rFonts w:hint="eastAsia" w:ascii="宋体" w:hAnsi="宋体"/>
                <w:sz w:val="22"/>
                <w:highlight w:val="none"/>
                <w:lang w:val="en-US" w:eastAsia="zh-CN"/>
              </w:rPr>
              <w:t>品牌/</w:t>
            </w:r>
          </w:p>
          <w:p w14:paraId="10345F01">
            <w:pPr>
              <w:topLinePunct w:val="0"/>
              <w:bidi w:val="0"/>
              <w:spacing w:beforeLines="50" w:after="120" w:line="360" w:lineRule="auto"/>
              <w:jc w:val="center"/>
              <w:rPr>
                <w:rFonts w:hint="eastAsia" w:ascii="宋体" w:hAnsi="宋体" w:eastAsia="宋体"/>
                <w:sz w:val="22"/>
                <w:highlight w:val="none"/>
                <w:lang w:eastAsia="zh-CN"/>
              </w:rPr>
            </w:pPr>
            <w:r>
              <w:rPr>
                <w:rFonts w:hint="eastAsia" w:ascii="宋体" w:hAnsi="宋体"/>
                <w:sz w:val="22"/>
                <w:highlight w:val="none"/>
              </w:rPr>
              <w:t>规格</w:t>
            </w:r>
            <w:r>
              <w:rPr>
                <w:rFonts w:hint="eastAsia" w:ascii="宋体" w:hAnsi="宋体"/>
                <w:sz w:val="22"/>
                <w:highlight w:val="none"/>
                <w:lang w:val="en-US" w:eastAsia="zh-CN"/>
              </w:rPr>
              <w:t>型号</w:t>
            </w:r>
          </w:p>
        </w:tc>
        <w:tc>
          <w:tcPr>
            <w:tcW w:w="1366" w:type="dxa"/>
            <w:tcBorders>
              <w:top w:val="single" w:color="auto" w:sz="6" w:space="0"/>
              <w:left w:val="single" w:color="auto" w:sz="6" w:space="0"/>
              <w:bottom w:val="single" w:color="auto" w:sz="6" w:space="0"/>
              <w:right w:val="single" w:color="auto" w:sz="6" w:space="0"/>
            </w:tcBorders>
            <w:vAlign w:val="center"/>
          </w:tcPr>
          <w:p w14:paraId="03EAD872">
            <w:pPr>
              <w:topLinePunct w:val="0"/>
              <w:bidi w:val="0"/>
              <w:spacing w:after="120" w:line="360" w:lineRule="auto"/>
              <w:jc w:val="center"/>
              <w:rPr>
                <w:rFonts w:hint="default" w:ascii="宋体" w:hAnsi="宋体" w:eastAsia="宋体"/>
                <w:sz w:val="22"/>
                <w:highlight w:val="none"/>
                <w:lang w:val="en-US" w:eastAsia="zh-CN"/>
              </w:rPr>
            </w:pPr>
            <w:r>
              <w:rPr>
                <w:rFonts w:hint="eastAsia" w:ascii="宋体" w:hAnsi="宋体"/>
                <w:sz w:val="22"/>
                <w:highlight w:val="none"/>
                <w:lang w:val="en-US" w:eastAsia="zh-CN"/>
              </w:rPr>
              <w:t>生产</w:t>
            </w:r>
            <w:r>
              <w:rPr>
                <w:rFonts w:hint="eastAsia" w:ascii="宋体" w:hAnsi="宋体"/>
                <w:sz w:val="22"/>
                <w:highlight w:val="none"/>
              </w:rPr>
              <w:t>厂</w:t>
            </w:r>
            <w:r>
              <w:rPr>
                <w:rFonts w:hint="eastAsia" w:ascii="宋体" w:hAnsi="宋体"/>
                <w:sz w:val="22"/>
                <w:highlight w:val="none"/>
                <w:lang w:val="en-US" w:eastAsia="zh-CN"/>
              </w:rPr>
              <w:t>家</w:t>
            </w:r>
          </w:p>
        </w:tc>
        <w:tc>
          <w:tcPr>
            <w:tcW w:w="1334" w:type="dxa"/>
            <w:tcBorders>
              <w:top w:val="single" w:color="auto" w:sz="6" w:space="0"/>
              <w:left w:val="single" w:color="auto" w:sz="6" w:space="0"/>
              <w:bottom w:val="single" w:color="auto" w:sz="6" w:space="0"/>
              <w:right w:val="single" w:color="auto" w:sz="6" w:space="0"/>
            </w:tcBorders>
            <w:vAlign w:val="center"/>
          </w:tcPr>
          <w:p w14:paraId="2AC9C103">
            <w:pPr>
              <w:topLinePunct w:val="0"/>
              <w:bidi w:val="0"/>
              <w:spacing w:after="120" w:line="360" w:lineRule="auto"/>
              <w:jc w:val="center"/>
              <w:rPr>
                <w:rFonts w:hint="eastAsia" w:ascii="宋体" w:hAnsi="宋体"/>
                <w:sz w:val="22"/>
                <w:highlight w:val="none"/>
                <w:lang w:val="en-US" w:eastAsia="zh-CN"/>
              </w:rPr>
            </w:pPr>
            <w:r>
              <w:rPr>
                <w:rFonts w:hint="eastAsia" w:ascii="宋体" w:hAnsi="宋体"/>
                <w:sz w:val="22"/>
                <w:highlight w:val="none"/>
                <w:lang w:val="en-US" w:eastAsia="zh-CN"/>
              </w:rPr>
              <w:t>采购</w:t>
            </w:r>
            <w:r>
              <w:rPr>
                <w:rFonts w:hint="eastAsia" w:ascii="宋体" w:hAnsi="宋体"/>
                <w:sz w:val="22"/>
                <w:highlight w:val="none"/>
              </w:rPr>
              <w:t>数量</w:t>
            </w:r>
            <w:r>
              <w:rPr>
                <w:rFonts w:hint="eastAsia" w:ascii="宋体" w:hAnsi="宋体"/>
                <w:sz w:val="22"/>
                <w:highlight w:val="none"/>
                <w:lang w:val="en-US" w:eastAsia="zh-CN"/>
              </w:rPr>
              <w:t>/</w:t>
            </w:r>
          </w:p>
          <w:p w14:paraId="477CF617">
            <w:pPr>
              <w:topLinePunct w:val="0"/>
              <w:bidi w:val="0"/>
              <w:spacing w:after="120" w:line="360" w:lineRule="auto"/>
              <w:jc w:val="center"/>
              <w:rPr>
                <w:rFonts w:hint="default" w:ascii="宋体" w:hAnsi="宋体" w:eastAsia="宋体"/>
                <w:bCs/>
                <w:sz w:val="22"/>
                <w:highlight w:val="none"/>
                <w:lang w:val="en-US" w:eastAsia="zh-CN"/>
              </w:rPr>
            </w:pPr>
            <w:r>
              <w:rPr>
                <w:rFonts w:hint="eastAsia" w:ascii="宋体" w:hAnsi="宋体"/>
                <w:sz w:val="22"/>
                <w:highlight w:val="none"/>
                <w:lang w:val="en-US" w:eastAsia="zh-CN"/>
              </w:rPr>
              <w:t>单位</w:t>
            </w:r>
          </w:p>
        </w:tc>
        <w:tc>
          <w:tcPr>
            <w:tcW w:w="983" w:type="dxa"/>
            <w:tcBorders>
              <w:top w:val="single" w:color="auto" w:sz="6" w:space="0"/>
              <w:left w:val="single" w:color="auto" w:sz="6" w:space="0"/>
              <w:bottom w:val="single" w:color="auto" w:sz="6" w:space="0"/>
              <w:right w:val="single" w:color="auto" w:sz="6" w:space="0"/>
            </w:tcBorders>
            <w:vAlign w:val="center"/>
          </w:tcPr>
          <w:p w14:paraId="48603901">
            <w:pPr>
              <w:topLinePunct w:val="0"/>
              <w:bidi w:val="0"/>
              <w:spacing w:after="120" w:line="360" w:lineRule="auto"/>
              <w:jc w:val="center"/>
              <w:rPr>
                <w:rFonts w:ascii="宋体" w:hAnsi="宋体"/>
                <w:sz w:val="22"/>
                <w:highlight w:val="none"/>
              </w:rPr>
            </w:pPr>
            <w:r>
              <w:rPr>
                <w:rFonts w:hint="eastAsia" w:ascii="宋体" w:hAnsi="宋体"/>
                <w:sz w:val="22"/>
                <w:highlight w:val="none"/>
              </w:rPr>
              <w:t>单价</w:t>
            </w:r>
          </w:p>
          <w:p w14:paraId="58FF48D7">
            <w:pPr>
              <w:topLinePunct w:val="0"/>
              <w:bidi w:val="0"/>
              <w:spacing w:after="120" w:line="360" w:lineRule="auto"/>
              <w:jc w:val="center"/>
              <w:rPr>
                <w:rFonts w:ascii="宋体" w:hAnsi="宋体"/>
                <w:bCs/>
                <w:sz w:val="22"/>
                <w:highlight w:val="none"/>
              </w:rPr>
            </w:pPr>
            <w:r>
              <w:rPr>
                <w:rFonts w:hint="eastAsia" w:ascii="宋体" w:hAnsi="宋体"/>
                <w:sz w:val="22"/>
                <w:highlight w:val="none"/>
              </w:rPr>
              <w:t>（元）</w:t>
            </w:r>
          </w:p>
        </w:tc>
        <w:tc>
          <w:tcPr>
            <w:tcW w:w="933" w:type="dxa"/>
            <w:tcBorders>
              <w:top w:val="single" w:color="auto" w:sz="6" w:space="0"/>
              <w:left w:val="single" w:color="auto" w:sz="6" w:space="0"/>
              <w:bottom w:val="single" w:color="auto" w:sz="6" w:space="0"/>
              <w:right w:val="single" w:color="auto" w:sz="6" w:space="0"/>
            </w:tcBorders>
            <w:vAlign w:val="center"/>
          </w:tcPr>
          <w:p w14:paraId="4D7DBF02">
            <w:pPr>
              <w:topLinePunct w:val="0"/>
              <w:bidi w:val="0"/>
              <w:spacing w:after="120" w:line="360" w:lineRule="auto"/>
              <w:jc w:val="center"/>
              <w:rPr>
                <w:rFonts w:ascii="宋体" w:hAnsi="宋体"/>
                <w:bCs/>
                <w:sz w:val="22"/>
                <w:highlight w:val="none"/>
              </w:rPr>
            </w:pPr>
            <w:r>
              <w:rPr>
                <w:rFonts w:hint="eastAsia" w:ascii="宋体" w:hAnsi="宋体"/>
                <w:bCs/>
                <w:sz w:val="22"/>
                <w:highlight w:val="none"/>
              </w:rPr>
              <w:t>总价</w:t>
            </w:r>
          </w:p>
          <w:p w14:paraId="406CC1D4">
            <w:pPr>
              <w:topLinePunct w:val="0"/>
              <w:bidi w:val="0"/>
              <w:spacing w:after="120" w:line="360" w:lineRule="auto"/>
              <w:jc w:val="center"/>
              <w:rPr>
                <w:rFonts w:hint="eastAsia" w:ascii="宋体" w:hAnsi="宋体"/>
                <w:bCs/>
                <w:sz w:val="22"/>
                <w:highlight w:val="none"/>
              </w:rPr>
            </w:pPr>
            <w:r>
              <w:rPr>
                <w:rFonts w:hint="eastAsia" w:ascii="宋体" w:hAnsi="宋体"/>
                <w:bCs/>
                <w:sz w:val="22"/>
                <w:highlight w:val="none"/>
              </w:rPr>
              <w:t>（元）</w:t>
            </w:r>
          </w:p>
        </w:tc>
      </w:tr>
      <w:tr w14:paraId="13355620">
        <w:tblPrEx>
          <w:tblCellMar>
            <w:top w:w="0" w:type="dxa"/>
            <w:left w:w="28" w:type="dxa"/>
            <w:bottom w:w="0" w:type="dxa"/>
            <w:right w:w="28" w:type="dxa"/>
          </w:tblCellMar>
        </w:tblPrEx>
        <w:trPr>
          <w:trHeight w:val="416" w:hRule="atLeast"/>
        </w:trPr>
        <w:tc>
          <w:tcPr>
            <w:tcW w:w="1056" w:type="dxa"/>
            <w:vMerge w:val="continue"/>
            <w:tcBorders>
              <w:left w:val="single" w:color="auto" w:sz="6" w:space="0"/>
              <w:right w:val="single" w:color="auto" w:sz="4" w:space="0"/>
            </w:tcBorders>
            <w:vAlign w:val="center"/>
          </w:tcPr>
          <w:p w14:paraId="132AAA0C">
            <w:pPr>
              <w:topLinePunct w:val="0"/>
              <w:bidi w:val="0"/>
              <w:spacing w:beforeLines="100" w:line="360" w:lineRule="auto"/>
              <w:jc w:val="center"/>
              <w:rPr>
                <w:rFonts w:ascii="宋体" w:hAnsi="宋体"/>
                <w:sz w:val="22"/>
                <w:highlight w:val="none"/>
              </w:rPr>
            </w:pPr>
          </w:p>
        </w:tc>
        <w:tc>
          <w:tcPr>
            <w:tcW w:w="487" w:type="dxa"/>
            <w:tcBorders>
              <w:top w:val="single" w:color="auto" w:sz="6" w:space="0"/>
              <w:left w:val="single" w:color="auto" w:sz="4" w:space="0"/>
              <w:bottom w:val="single" w:color="auto" w:sz="4" w:space="0"/>
            </w:tcBorders>
            <w:vAlign w:val="center"/>
          </w:tcPr>
          <w:p w14:paraId="269382E8">
            <w:pPr>
              <w:keepNext w:val="0"/>
              <w:keepLines w:val="0"/>
              <w:pageBreakBefore w:val="0"/>
              <w:widowControl w:val="0"/>
              <w:kinsoku/>
              <w:wordWrap/>
              <w:overflowPunct/>
              <w:topLinePunct w:val="0"/>
              <w:autoSpaceDE/>
              <w:autoSpaceDN/>
              <w:bidi w:val="0"/>
              <w:adjustRightInd/>
              <w:snapToGrid/>
              <w:spacing w:beforeLines="100" w:line="400" w:lineRule="exact"/>
              <w:jc w:val="center"/>
              <w:textAlignment w:val="auto"/>
              <w:rPr>
                <w:rFonts w:ascii="宋体" w:hAnsi="宋体"/>
                <w:sz w:val="22"/>
                <w:highlight w:val="none"/>
              </w:rPr>
            </w:pPr>
            <w:r>
              <w:rPr>
                <w:rFonts w:hint="eastAsia" w:ascii="宋体" w:hAnsi="宋体"/>
                <w:sz w:val="22"/>
                <w:highlight w:val="none"/>
              </w:rPr>
              <w:t>1</w:t>
            </w:r>
          </w:p>
        </w:tc>
        <w:tc>
          <w:tcPr>
            <w:tcW w:w="1493" w:type="dxa"/>
            <w:tcBorders>
              <w:top w:val="single" w:color="auto" w:sz="6" w:space="0"/>
              <w:left w:val="single" w:color="auto" w:sz="6" w:space="0"/>
              <w:bottom w:val="single" w:color="auto" w:sz="4" w:space="0"/>
              <w:right w:val="single" w:color="auto" w:sz="6" w:space="0"/>
            </w:tcBorders>
            <w:vAlign w:val="center"/>
          </w:tcPr>
          <w:p w14:paraId="1E1F48F4">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67" w:type="dxa"/>
            <w:tcBorders>
              <w:top w:val="single" w:color="auto" w:sz="6" w:space="0"/>
              <w:left w:val="single" w:color="auto" w:sz="6" w:space="0"/>
              <w:bottom w:val="single" w:color="auto" w:sz="4" w:space="0"/>
              <w:right w:val="single" w:color="auto" w:sz="6" w:space="0"/>
            </w:tcBorders>
            <w:vAlign w:val="center"/>
          </w:tcPr>
          <w:p w14:paraId="6662E4A0">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66" w:type="dxa"/>
            <w:tcBorders>
              <w:top w:val="single" w:color="auto" w:sz="6" w:space="0"/>
              <w:left w:val="single" w:color="auto" w:sz="6" w:space="0"/>
              <w:bottom w:val="single" w:color="auto" w:sz="4" w:space="0"/>
              <w:right w:val="single" w:color="auto" w:sz="6" w:space="0"/>
            </w:tcBorders>
            <w:vAlign w:val="center"/>
          </w:tcPr>
          <w:p w14:paraId="4CB9B56A">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34" w:type="dxa"/>
            <w:tcBorders>
              <w:top w:val="single" w:color="auto" w:sz="6" w:space="0"/>
              <w:left w:val="single" w:color="auto" w:sz="6" w:space="0"/>
              <w:bottom w:val="single" w:color="auto" w:sz="4" w:space="0"/>
              <w:right w:val="single" w:color="auto" w:sz="6" w:space="0"/>
            </w:tcBorders>
            <w:vAlign w:val="center"/>
          </w:tcPr>
          <w:p w14:paraId="78030EB0">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983" w:type="dxa"/>
            <w:tcBorders>
              <w:top w:val="single" w:color="auto" w:sz="6" w:space="0"/>
              <w:left w:val="single" w:color="auto" w:sz="6" w:space="0"/>
              <w:bottom w:val="single" w:color="auto" w:sz="4" w:space="0"/>
              <w:right w:val="single" w:color="auto" w:sz="6" w:space="0"/>
            </w:tcBorders>
            <w:vAlign w:val="center"/>
          </w:tcPr>
          <w:p w14:paraId="12D69AE9">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933" w:type="dxa"/>
            <w:tcBorders>
              <w:top w:val="single" w:color="auto" w:sz="6" w:space="0"/>
              <w:left w:val="single" w:color="auto" w:sz="6" w:space="0"/>
              <w:bottom w:val="single" w:color="auto" w:sz="4" w:space="0"/>
              <w:right w:val="single" w:color="auto" w:sz="6" w:space="0"/>
            </w:tcBorders>
            <w:vAlign w:val="center"/>
          </w:tcPr>
          <w:p w14:paraId="180AE23B">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r>
      <w:tr w14:paraId="5473B7C6">
        <w:tblPrEx>
          <w:tblCellMar>
            <w:top w:w="0" w:type="dxa"/>
            <w:left w:w="28" w:type="dxa"/>
            <w:bottom w:w="0" w:type="dxa"/>
            <w:right w:w="28" w:type="dxa"/>
          </w:tblCellMar>
        </w:tblPrEx>
        <w:trPr>
          <w:trHeight w:val="407" w:hRule="atLeast"/>
        </w:trPr>
        <w:tc>
          <w:tcPr>
            <w:tcW w:w="1056" w:type="dxa"/>
            <w:vMerge w:val="continue"/>
            <w:tcBorders>
              <w:left w:val="single" w:color="auto" w:sz="6" w:space="0"/>
              <w:right w:val="single" w:color="auto" w:sz="4" w:space="0"/>
            </w:tcBorders>
            <w:vAlign w:val="center"/>
          </w:tcPr>
          <w:p w14:paraId="3797CF54">
            <w:pPr>
              <w:topLinePunct w:val="0"/>
              <w:bidi w:val="0"/>
              <w:spacing w:beforeLines="100" w:line="360" w:lineRule="auto"/>
              <w:jc w:val="center"/>
              <w:rPr>
                <w:rFonts w:ascii="宋体" w:hAnsi="宋体"/>
                <w:sz w:val="22"/>
                <w:highlight w:val="none"/>
              </w:rPr>
            </w:pPr>
          </w:p>
        </w:tc>
        <w:tc>
          <w:tcPr>
            <w:tcW w:w="487" w:type="dxa"/>
            <w:tcBorders>
              <w:top w:val="single" w:color="auto" w:sz="4" w:space="0"/>
              <w:left w:val="single" w:color="auto" w:sz="4" w:space="0"/>
              <w:bottom w:val="single" w:color="auto" w:sz="6" w:space="0"/>
            </w:tcBorders>
            <w:vAlign w:val="center"/>
          </w:tcPr>
          <w:p w14:paraId="1529F0FE">
            <w:pPr>
              <w:keepNext w:val="0"/>
              <w:keepLines w:val="0"/>
              <w:pageBreakBefore w:val="0"/>
              <w:widowControl w:val="0"/>
              <w:kinsoku/>
              <w:wordWrap/>
              <w:overflowPunct/>
              <w:topLinePunct w:val="0"/>
              <w:autoSpaceDE/>
              <w:autoSpaceDN/>
              <w:bidi w:val="0"/>
              <w:adjustRightInd/>
              <w:snapToGrid/>
              <w:spacing w:beforeLines="100" w:line="400" w:lineRule="exact"/>
              <w:jc w:val="center"/>
              <w:textAlignment w:val="auto"/>
              <w:rPr>
                <w:rFonts w:ascii="宋体" w:hAnsi="宋体"/>
                <w:sz w:val="22"/>
                <w:highlight w:val="none"/>
              </w:rPr>
            </w:pPr>
            <w:r>
              <w:rPr>
                <w:rFonts w:hint="eastAsia" w:ascii="宋体" w:hAnsi="宋体"/>
                <w:sz w:val="22"/>
                <w:highlight w:val="none"/>
              </w:rPr>
              <w:t>2</w:t>
            </w:r>
          </w:p>
        </w:tc>
        <w:tc>
          <w:tcPr>
            <w:tcW w:w="1493" w:type="dxa"/>
            <w:tcBorders>
              <w:top w:val="single" w:color="auto" w:sz="4" w:space="0"/>
              <w:left w:val="single" w:color="auto" w:sz="6" w:space="0"/>
              <w:bottom w:val="single" w:color="auto" w:sz="6" w:space="0"/>
              <w:right w:val="single" w:color="auto" w:sz="6" w:space="0"/>
            </w:tcBorders>
            <w:vAlign w:val="center"/>
          </w:tcPr>
          <w:p w14:paraId="3FA442E4">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67" w:type="dxa"/>
            <w:tcBorders>
              <w:top w:val="single" w:color="auto" w:sz="4" w:space="0"/>
              <w:left w:val="single" w:color="auto" w:sz="6" w:space="0"/>
              <w:bottom w:val="single" w:color="auto" w:sz="6" w:space="0"/>
              <w:right w:val="single" w:color="auto" w:sz="6" w:space="0"/>
            </w:tcBorders>
            <w:vAlign w:val="center"/>
          </w:tcPr>
          <w:p w14:paraId="69FE0892">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66" w:type="dxa"/>
            <w:tcBorders>
              <w:top w:val="single" w:color="auto" w:sz="4" w:space="0"/>
              <w:left w:val="single" w:color="auto" w:sz="6" w:space="0"/>
              <w:bottom w:val="single" w:color="auto" w:sz="6" w:space="0"/>
              <w:right w:val="single" w:color="auto" w:sz="6" w:space="0"/>
            </w:tcBorders>
            <w:vAlign w:val="center"/>
          </w:tcPr>
          <w:p w14:paraId="2B50E9AD">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34" w:type="dxa"/>
            <w:tcBorders>
              <w:top w:val="single" w:color="auto" w:sz="4" w:space="0"/>
              <w:left w:val="single" w:color="auto" w:sz="6" w:space="0"/>
              <w:bottom w:val="single" w:color="auto" w:sz="6" w:space="0"/>
              <w:right w:val="single" w:color="auto" w:sz="6" w:space="0"/>
            </w:tcBorders>
            <w:vAlign w:val="center"/>
          </w:tcPr>
          <w:p w14:paraId="0E5BF7C2">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983" w:type="dxa"/>
            <w:tcBorders>
              <w:top w:val="single" w:color="auto" w:sz="4" w:space="0"/>
              <w:left w:val="single" w:color="auto" w:sz="6" w:space="0"/>
              <w:bottom w:val="single" w:color="auto" w:sz="6" w:space="0"/>
              <w:right w:val="single" w:color="auto" w:sz="6" w:space="0"/>
            </w:tcBorders>
            <w:vAlign w:val="center"/>
          </w:tcPr>
          <w:p w14:paraId="0522613C">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933" w:type="dxa"/>
            <w:tcBorders>
              <w:top w:val="single" w:color="auto" w:sz="4" w:space="0"/>
              <w:left w:val="single" w:color="auto" w:sz="6" w:space="0"/>
              <w:bottom w:val="single" w:color="auto" w:sz="6" w:space="0"/>
              <w:right w:val="single" w:color="auto" w:sz="6" w:space="0"/>
            </w:tcBorders>
            <w:vAlign w:val="center"/>
          </w:tcPr>
          <w:p w14:paraId="14B13FDD">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r>
      <w:tr w14:paraId="709C6D57">
        <w:tblPrEx>
          <w:tblCellMar>
            <w:top w:w="0" w:type="dxa"/>
            <w:left w:w="28" w:type="dxa"/>
            <w:bottom w:w="0" w:type="dxa"/>
            <w:right w:w="28" w:type="dxa"/>
          </w:tblCellMar>
        </w:tblPrEx>
        <w:trPr>
          <w:trHeight w:val="550" w:hRule="atLeast"/>
        </w:trPr>
        <w:tc>
          <w:tcPr>
            <w:tcW w:w="1056" w:type="dxa"/>
            <w:vMerge w:val="continue"/>
            <w:tcBorders>
              <w:left w:val="single" w:color="auto" w:sz="6" w:space="0"/>
              <w:right w:val="single" w:color="auto" w:sz="4" w:space="0"/>
            </w:tcBorders>
            <w:vAlign w:val="center"/>
          </w:tcPr>
          <w:p w14:paraId="79DBF62D">
            <w:pPr>
              <w:topLinePunct w:val="0"/>
              <w:bidi w:val="0"/>
              <w:spacing w:beforeLines="100" w:line="360" w:lineRule="auto"/>
              <w:jc w:val="center"/>
              <w:rPr>
                <w:rFonts w:ascii="宋体" w:hAnsi="宋体"/>
                <w:sz w:val="22"/>
                <w:highlight w:val="none"/>
              </w:rPr>
            </w:pPr>
          </w:p>
        </w:tc>
        <w:tc>
          <w:tcPr>
            <w:tcW w:w="487" w:type="dxa"/>
            <w:tcBorders>
              <w:top w:val="single" w:color="auto" w:sz="4" w:space="0"/>
              <w:left w:val="single" w:color="auto" w:sz="4" w:space="0"/>
              <w:bottom w:val="single" w:color="auto" w:sz="6" w:space="0"/>
            </w:tcBorders>
            <w:vAlign w:val="center"/>
          </w:tcPr>
          <w:p w14:paraId="6041E6D0">
            <w:pPr>
              <w:keepNext w:val="0"/>
              <w:keepLines w:val="0"/>
              <w:pageBreakBefore w:val="0"/>
              <w:widowControl w:val="0"/>
              <w:kinsoku/>
              <w:wordWrap/>
              <w:overflowPunct/>
              <w:topLinePunct w:val="0"/>
              <w:autoSpaceDE/>
              <w:autoSpaceDN/>
              <w:bidi w:val="0"/>
              <w:adjustRightInd/>
              <w:snapToGrid/>
              <w:spacing w:beforeLines="100" w:line="400" w:lineRule="exact"/>
              <w:jc w:val="center"/>
              <w:textAlignment w:val="auto"/>
              <w:rPr>
                <w:rFonts w:ascii="宋体" w:hAnsi="宋体"/>
                <w:sz w:val="22"/>
                <w:highlight w:val="none"/>
              </w:rPr>
            </w:pPr>
            <w:r>
              <w:rPr>
                <w:rFonts w:hint="eastAsia" w:ascii="宋体" w:hAnsi="宋体"/>
                <w:sz w:val="22"/>
                <w:highlight w:val="none"/>
              </w:rPr>
              <w:t>3</w:t>
            </w:r>
          </w:p>
        </w:tc>
        <w:tc>
          <w:tcPr>
            <w:tcW w:w="1493" w:type="dxa"/>
            <w:tcBorders>
              <w:top w:val="single" w:color="auto" w:sz="4" w:space="0"/>
              <w:left w:val="single" w:color="auto" w:sz="6" w:space="0"/>
              <w:bottom w:val="single" w:color="auto" w:sz="6" w:space="0"/>
              <w:right w:val="single" w:color="auto" w:sz="6" w:space="0"/>
            </w:tcBorders>
            <w:vAlign w:val="center"/>
          </w:tcPr>
          <w:p w14:paraId="21D3CEF2">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67" w:type="dxa"/>
            <w:tcBorders>
              <w:top w:val="single" w:color="auto" w:sz="4" w:space="0"/>
              <w:left w:val="single" w:color="auto" w:sz="6" w:space="0"/>
              <w:bottom w:val="single" w:color="auto" w:sz="6" w:space="0"/>
              <w:right w:val="single" w:color="auto" w:sz="6" w:space="0"/>
            </w:tcBorders>
            <w:vAlign w:val="center"/>
          </w:tcPr>
          <w:p w14:paraId="16513F61">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66" w:type="dxa"/>
            <w:tcBorders>
              <w:top w:val="single" w:color="auto" w:sz="4" w:space="0"/>
              <w:left w:val="single" w:color="auto" w:sz="6" w:space="0"/>
              <w:bottom w:val="single" w:color="auto" w:sz="6" w:space="0"/>
              <w:right w:val="single" w:color="auto" w:sz="6" w:space="0"/>
            </w:tcBorders>
            <w:vAlign w:val="center"/>
          </w:tcPr>
          <w:p w14:paraId="32E9B6E5">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34" w:type="dxa"/>
            <w:tcBorders>
              <w:top w:val="single" w:color="auto" w:sz="4" w:space="0"/>
              <w:left w:val="single" w:color="auto" w:sz="6" w:space="0"/>
              <w:bottom w:val="single" w:color="auto" w:sz="6" w:space="0"/>
              <w:right w:val="single" w:color="auto" w:sz="6" w:space="0"/>
            </w:tcBorders>
            <w:vAlign w:val="center"/>
          </w:tcPr>
          <w:p w14:paraId="579DDC59">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983" w:type="dxa"/>
            <w:tcBorders>
              <w:top w:val="single" w:color="auto" w:sz="4" w:space="0"/>
              <w:left w:val="single" w:color="auto" w:sz="6" w:space="0"/>
              <w:bottom w:val="single" w:color="auto" w:sz="6" w:space="0"/>
              <w:right w:val="single" w:color="auto" w:sz="6" w:space="0"/>
            </w:tcBorders>
            <w:vAlign w:val="center"/>
          </w:tcPr>
          <w:p w14:paraId="5E8BC7E2">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933" w:type="dxa"/>
            <w:tcBorders>
              <w:top w:val="single" w:color="auto" w:sz="4" w:space="0"/>
              <w:left w:val="single" w:color="auto" w:sz="6" w:space="0"/>
              <w:bottom w:val="single" w:color="auto" w:sz="6" w:space="0"/>
              <w:right w:val="single" w:color="auto" w:sz="6" w:space="0"/>
            </w:tcBorders>
            <w:vAlign w:val="center"/>
          </w:tcPr>
          <w:p w14:paraId="300F565F">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r>
      <w:tr w14:paraId="74B55194">
        <w:tblPrEx>
          <w:tblCellMar>
            <w:top w:w="0" w:type="dxa"/>
            <w:left w:w="28" w:type="dxa"/>
            <w:bottom w:w="0" w:type="dxa"/>
            <w:right w:w="28" w:type="dxa"/>
          </w:tblCellMar>
        </w:tblPrEx>
        <w:trPr>
          <w:trHeight w:val="827" w:hRule="atLeast"/>
        </w:trPr>
        <w:tc>
          <w:tcPr>
            <w:tcW w:w="1056" w:type="dxa"/>
            <w:vMerge w:val="continue"/>
            <w:tcBorders>
              <w:left w:val="single" w:color="auto" w:sz="6" w:space="0"/>
              <w:right w:val="single" w:color="auto" w:sz="4" w:space="0"/>
            </w:tcBorders>
            <w:vAlign w:val="center"/>
          </w:tcPr>
          <w:p w14:paraId="180FDE60">
            <w:pPr>
              <w:topLinePunct w:val="0"/>
              <w:bidi w:val="0"/>
              <w:spacing w:beforeLines="100" w:line="360" w:lineRule="auto"/>
              <w:jc w:val="center"/>
              <w:rPr>
                <w:rFonts w:ascii="宋体" w:hAnsi="宋体"/>
                <w:sz w:val="22"/>
                <w:highlight w:val="none"/>
              </w:rPr>
            </w:pPr>
          </w:p>
        </w:tc>
        <w:tc>
          <w:tcPr>
            <w:tcW w:w="487" w:type="dxa"/>
            <w:tcBorders>
              <w:top w:val="single" w:color="auto" w:sz="4" w:space="0"/>
              <w:left w:val="single" w:color="auto" w:sz="4" w:space="0"/>
              <w:bottom w:val="single" w:color="auto" w:sz="6" w:space="0"/>
            </w:tcBorders>
            <w:vAlign w:val="center"/>
          </w:tcPr>
          <w:p w14:paraId="6DA1DA4E">
            <w:pPr>
              <w:keepNext w:val="0"/>
              <w:keepLines w:val="0"/>
              <w:pageBreakBefore w:val="0"/>
              <w:widowControl w:val="0"/>
              <w:kinsoku/>
              <w:wordWrap/>
              <w:overflowPunct/>
              <w:topLinePunct w:val="0"/>
              <w:autoSpaceDE/>
              <w:autoSpaceDN/>
              <w:bidi w:val="0"/>
              <w:adjustRightInd/>
              <w:snapToGrid/>
              <w:spacing w:beforeLines="100" w:line="400" w:lineRule="exact"/>
              <w:jc w:val="center"/>
              <w:textAlignment w:val="auto"/>
              <w:rPr>
                <w:rFonts w:ascii="宋体" w:hAnsi="宋体"/>
                <w:sz w:val="22"/>
                <w:highlight w:val="none"/>
              </w:rPr>
            </w:pPr>
            <w:r>
              <w:rPr>
                <w:rFonts w:hint="eastAsia" w:ascii="宋体" w:hAnsi="宋体"/>
                <w:sz w:val="22"/>
                <w:highlight w:val="none"/>
              </w:rPr>
              <w:t>……</w:t>
            </w:r>
          </w:p>
        </w:tc>
        <w:tc>
          <w:tcPr>
            <w:tcW w:w="1493" w:type="dxa"/>
            <w:tcBorders>
              <w:top w:val="single" w:color="auto" w:sz="4" w:space="0"/>
              <w:left w:val="single" w:color="auto" w:sz="6" w:space="0"/>
              <w:bottom w:val="single" w:color="auto" w:sz="6" w:space="0"/>
              <w:right w:val="single" w:color="auto" w:sz="6" w:space="0"/>
            </w:tcBorders>
            <w:vAlign w:val="center"/>
          </w:tcPr>
          <w:p w14:paraId="2ECB9786">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67" w:type="dxa"/>
            <w:tcBorders>
              <w:top w:val="single" w:color="auto" w:sz="4" w:space="0"/>
              <w:left w:val="single" w:color="auto" w:sz="6" w:space="0"/>
              <w:bottom w:val="single" w:color="auto" w:sz="6" w:space="0"/>
              <w:right w:val="single" w:color="auto" w:sz="6" w:space="0"/>
            </w:tcBorders>
            <w:vAlign w:val="center"/>
          </w:tcPr>
          <w:p w14:paraId="17F07480">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66" w:type="dxa"/>
            <w:tcBorders>
              <w:top w:val="single" w:color="auto" w:sz="4" w:space="0"/>
              <w:left w:val="single" w:color="auto" w:sz="6" w:space="0"/>
              <w:bottom w:val="single" w:color="auto" w:sz="6" w:space="0"/>
              <w:right w:val="single" w:color="auto" w:sz="6" w:space="0"/>
            </w:tcBorders>
            <w:vAlign w:val="center"/>
          </w:tcPr>
          <w:p w14:paraId="53D360AA">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34" w:type="dxa"/>
            <w:tcBorders>
              <w:top w:val="single" w:color="auto" w:sz="4" w:space="0"/>
              <w:left w:val="single" w:color="auto" w:sz="6" w:space="0"/>
              <w:bottom w:val="single" w:color="auto" w:sz="6" w:space="0"/>
              <w:right w:val="single" w:color="auto" w:sz="6" w:space="0"/>
            </w:tcBorders>
            <w:vAlign w:val="center"/>
          </w:tcPr>
          <w:p w14:paraId="181815BA">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983" w:type="dxa"/>
            <w:tcBorders>
              <w:top w:val="single" w:color="auto" w:sz="4" w:space="0"/>
              <w:left w:val="single" w:color="auto" w:sz="6" w:space="0"/>
              <w:bottom w:val="single" w:color="auto" w:sz="6" w:space="0"/>
              <w:right w:val="single" w:color="auto" w:sz="6" w:space="0"/>
            </w:tcBorders>
            <w:vAlign w:val="center"/>
          </w:tcPr>
          <w:p w14:paraId="537CF064">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933" w:type="dxa"/>
            <w:tcBorders>
              <w:top w:val="single" w:color="auto" w:sz="4" w:space="0"/>
              <w:left w:val="single" w:color="auto" w:sz="6" w:space="0"/>
              <w:bottom w:val="single" w:color="auto" w:sz="6" w:space="0"/>
              <w:right w:val="single" w:color="auto" w:sz="6" w:space="0"/>
            </w:tcBorders>
            <w:vAlign w:val="center"/>
          </w:tcPr>
          <w:p w14:paraId="09D04091">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r>
      <w:tr w14:paraId="26395A5C">
        <w:tblPrEx>
          <w:tblCellMar>
            <w:top w:w="0" w:type="dxa"/>
            <w:left w:w="28" w:type="dxa"/>
            <w:bottom w:w="0" w:type="dxa"/>
            <w:right w:w="28" w:type="dxa"/>
          </w:tblCellMar>
        </w:tblPrEx>
        <w:trPr>
          <w:trHeight w:val="523" w:hRule="atLeast"/>
        </w:trPr>
        <w:tc>
          <w:tcPr>
            <w:tcW w:w="1543" w:type="dxa"/>
            <w:gridSpan w:val="2"/>
            <w:tcBorders>
              <w:top w:val="single" w:color="auto" w:sz="4" w:space="0"/>
              <w:left w:val="single" w:color="auto" w:sz="6" w:space="0"/>
              <w:bottom w:val="single" w:color="auto" w:sz="6" w:space="0"/>
              <w:right w:val="single" w:color="auto" w:sz="6" w:space="0"/>
            </w:tcBorders>
            <w:vAlign w:val="center"/>
          </w:tcPr>
          <w:p w14:paraId="18D290AF">
            <w:pPr>
              <w:topLinePunct w:val="0"/>
              <w:bidi w:val="0"/>
              <w:spacing w:line="360" w:lineRule="auto"/>
              <w:jc w:val="center"/>
              <w:rPr>
                <w:rFonts w:ascii="宋体" w:hAnsi="宋体"/>
                <w:sz w:val="22"/>
                <w:highlight w:val="none"/>
              </w:rPr>
            </w:pPr>
            <w:r>
              <w:rPr>
                <w:rFonts w:hint="eastAsia" w:ascii="宋体" w:hAnsi="宋体"/>
                <w:sz w:val="22"/>
                <w:highlight w:val="none"/>
              </w:rPr>
              <w:t>其他费用</w:t>
            </w:r>
          </w:p>
        </w:tc>
        <w:tc>
          <w:tcPr>
            <w:tcW w:w="7476" w:type="dxa"/>
            <w:gridSpan w:val="6"/>
            <w:tcBorders>
              <w:top w:val="single" w:color="auto" w:sz="4" w:space="0"/>
              <w:left w:val="single" w:color="auto" w:sz="6" w:space="0"/>
              <w:bottom w:val="single" w:color="auto" w:sz="6" w:space="0"/>
              <w:right w:val="single" w:color="auto" w:sz="6" w:space="0"/>
            </w:tcBorders>
            <w:vAlign w:val="center"/>
          </w:tcPr>
          <w:p w14:paraId="00DC8C0F">
            <w:pPr>
              <w:topLinePunct w:val="0"/>
              <w:bidi w:val="0"/>
              <w:spacing w:line="360" w:lineRule="auto"/>
              <w:jc w:val="center"/>
              <w:rPr>
                <w:rFonts w:hint="eastAsia" w:ascii="宋体" w:hAnsi="宋体"/>
                <w:sz w:val="22"/>
                <w:highlight w:val="none"/>
              </w:rPr>
            </w:pPr>
          </w:p>
        </w:tc>
      </w:tr>
      <w:tr w14:paraId="4238111B">
        <w:tblPrEx>
          <w:tblCellMar>
            <w:top w:w="0" w:type="dxa"/>
            <w:left w:w="28" w:type="dxa"/>
            <w:bottom w:w="0" w:type="dxa"/>
            <w:right w:w="28" w:type="dxa"/>
          </w:tblCellMar>
        </w:tblPrEx>
        <w:trPr>
          <w:trHeight w:val="645" w:hRule="atLeast"/>
        </w:trPr>
        <w:tc>
          <w:tcPr>
            <w:tcW w:w="1543" w:type="dxa"/>
            <w:gridSpan w:val="2"/>
            <w:tcBorders>
              <w:top w:val="single" w:color="auto" w:sz="4" w:space="0"/>
              <w:left w:val="single" w:color="auto" w:sz="6" w:space="0"/>
              <w:bottom w:val="single" w:color="auto" w:sz="6" w:space="0"/>
            </w:tcBorders>
            <w:vAlign w:val="center"/>
          </w:tcPr>
          <w:p w14:paraId="78D2FA63">
            <w:pPr>
              <w:topLinePunct w:val="0"/>
              <w:bidi w:val="0"/>
              <w:spacing w:line="360" w:lineRule="auto"/>
              <w:jc w:val="center"/>
              <w:rPr>
                <w:rFonts w:ascii="宋体" w:hAnsi="宋体"/>
                <w:sz w:val="22"/>
                <w:highlight w:val="none"/>
              </w:rPr>
            </w:pPr>
            <w:r>
              <w:rPr>
                <w:rFonts w:hint="eastAsia" w:ascii="宋体" w:hAnsi="宋体"/>
                <w:sz w:val="22"/>
                <w:highlight w:val="none"/>
              </w:rPr>
              <w:t>投标总报价</w:t>
            </w:r>
          </w:p>
        </w:tc>
        <w:tc>
          <w:tcPr>
            <w:tcW w:w="7476" w:type="dxa"/>
            <w:gridSpan w:val="6"/>
            <w:tcBorders>
              <w:top w:val="single" w:color="auto" w:sz="4" w:space="0"/>
              <w:left w:val="single" w:color="auto" w:sz="6" w:space="0"/>
              <w:bottom w:val="single" w:color="auto" w:sz="6" w:space="0"/>
              <w:right w:val="single" w:color="auto" w:sz="6" w:space="0"/>
            </w:tcBorders>
            <w:vAlign w:val="center"/>
          </w:tcPr>
          <w:p w14:paraId="23BD73C7">
            <w:pPr>
              <w:topLinePunct w:val="0"/>
              <w:bidi w:val="0"/>
              <w:spacing w:beforeLines="50" w:line="360" w:lineRule="auto"/>
              <w:jc w:val="left"/>
              <w:rPr>
                <w:rFonts w:hint="eastAsia" w:ascii="宋体" w:hAnsi="宋体"/>
                <w:sz w:val="22"/>
                <w:highlight w:val="none"/>
              </w:rPr>
            </w:pPr>
            <w:r>
              <w:rPr>
                <w:rFonts w:hint="eastAsia" w:ascii="宋体" w:hAnsi="宋体"/>
                <w:sz w:val="22"/>
                <w:highlight w:val="none"/>
              </w:rPr>
              <w:t>大写：</w:t>
            </w:r>
            <w:r>
              <w:rPr>
                <w:rFonts w:hint="eastAsia" w:ascii="宋体" w:hAnsi="宋体"/>
                <w:sz w:val="22"/>
                <w:highlight w:val="none"/>
                <w:u w:val="single"/>
              </w:rPr>
              <w:t xml:space="preserve">                 </w:t>
            </w:r>
            <w:r>
              <w:rPr>
                <w:rFonts w:hint="eastAsia" w:ascii="宋体" w:hAnsi="宋体"/>
                <w:sz w:val="22"/>
                <w:highlight w:val="none"/>
              </w:rPr>
              <w:t xml:space="preserve">  小写：</w:t>
            </w:r>
            <w:r>
              <w:rPr>
                <w:rFonts w:hint="eastAsia" w:ascii="宋体" w:hAnsi="宋体"/>
                <w:sz w:val="22"/>
                <w:highlight w:val="none"/>
                <w:lang w:val="en-US" w:eastAsia="zh-CN"/>
              </w:rPr>
              <w:t xml:space="preserve"> </w:t>
            </w:r>
            <w:r>
              <w:rPr>
                <w:rFonts w:hint="eastAsia" w:ascii="宋体" w:hAnsi="宋体"/>
                <w:sz w:val="22"/>
                <w:highlight w:val="none"/>
                <w:u w:val="single"/>
                <w:lang w:val="en-US" w:eastAsia="zh-CN"/>
              </w:rPr>
              <w:t xml:space="preserve">               </w:t>
            </w:r>
            <w:r>
              <w:rPr>
                <w:rFonts w:hint="eastAsia" w:ascii="宋体" w:hAnsi="宋体"/>
                <w:sz w:val="22"/>
                <w:highlight w:val="none"/>
                <w:lang w:val="en-US" w:eastAsia="zh-CN"/>
              </w:rPr>
              <w:t xml:space="preserve"> </w:t>
            </w:r>
            <w:r>
              <w:rPr>
                <w:rFonts w:hint="eastAsia" w:ascii="宋体" w:hAnsi="宋体"/>
                <w:sz w:val="22"/>
                <w:highlight w:val="none"/>
              </w:rPr>
              <w:t>元</w:t>
            </w:r>
          </w:p>
        </w:tc>
      </w:tr>
    </w:tbl>
    <w:p w14:paraId="66E07C45">
      <w:pPr>
        <w:pStyle w:val="10"/>
        <w:spacing w:line="360" w:lineRule="auto"/>
        <w:ind w:firstLine="480"/>
        <w:rPr>
          <w:rFonts w:hint="eastAsia" w:ascii="宋体" w:hAnsi="宋体" w:eastAsia="宋体" w:cs="宋体"/>
          <w:b/>
          <w:bCs/>
          <w:sz w:val="24"/>
          <w:szCs w:val="24"/>
          <w:highlight w:val="none"/>
        </w:rPr>
      </w:pPr>
    </w:p>
    <w:p w14:paraId="6640C175">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第二条</w:t>
      </w:r>
      <w:r>
        <w:rPr>
          <w:rFonts w:hint="eastAsia" w:ascii="宋体" w:hAnsi="宋体" w:cs="宋体"/>
          <w:b/>
          <w:bCs/>
          <w:sz w:val="24"/>
          <w:szCs w:val="24"/>
          <w:highlight w:val="none"/>
          <w:lang w:val="en-US" w:eastAsia="zh-CN"/>
        </w:rPr>
        <w:t xml:space="preserve"> </w:t>
      </w:r>
      <w:r>
        <w:rPr>
          <w:rFonts w:hint="eastAsia" w:ascii="宋体" w:hAnsi="宋体" w:eastAsia="宋体" w:cs="宋体"/>
          <w:b/>
          <w:bCs/>
          <w:sz w:val="24"/>
          <w:szCs w:val="24"/>
          <w:highlight w:val="none"/>
        </w:rPr>
        <w:t>合同价款</w:t>
      </w:r>
    </w:p>
    <w:p w14:paraId="1B207CC5">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1.合同总价：人民币（大写）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4DBFB2C3">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2.本合同总价是货物（产品）设计、材料、制造、包装、运输及</w:t>
      </w:r>
      <w:r>
        <w:rPr>
          <w:rFonts w:hint="eastAsia" w:ascii="宋体" w:hAnsi="宋体" w:cs="宋体"/>
          <w:sz w:val="24"/>
          <w:szCs w:val="24"/>
          <w:highlight w:val="none"/>
          <w:lang w:val="en-US" w:eastAsia="zh-CN"/>
        </w:rPr>
        <w:t>质保</w:t>
      </w:r>
      <w:r>
        <w:rPr>
          <w:rFonts w:hint="eastAsia" w:ascii="宋体" w:hAnsi="宋体" w:eastAsia="宋体" w:cs="宋体"/>
          <w:sz w:val="24"/>
          <w:szCs w:val="24"/>
          <w:highlight w:val="none"/>
        </w:rPr>
        <w:t>期内保修服务与备用物件等其他有关各项的含税费用。</w:t>
      </w:r>
    </w:p>
    <w:p w14:paraId="7155E405">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3.本合同总价还包含乙方应当提供的伴随服务和售后服务费用。</w:t>
      </w:r>
    </w:p>
    <w:p w14:paraId="3E64B486">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4.本合同执行期间合同总价不变，甲方无须另向乙方支付本合同规定之外的其他任何费用。</w:t>
      </w:r>
    </w:p>
    <w:p w14:paraId="026F87B4">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第三条</w:t>
      </w:r>
      <w:r>
        <w:rPr>
          <w:rFonts w:hint="eastAsia" w:ascii="宋体" w:hAnsi="宋体" w:cs="宋体"/>
          <w:b/>
          <w:bCs/>
          <w:sz w:val="24"/>
          <w:szCs w:val="24"/>
          <w:highlight w:val="none"/>
          <w:lang w:val="en-US" w:eastAsia="zh-CN"/>
        </w:rPr>
        <w:t xml:space="preserve"> </w:t>
      </w:r>
      <w:r>
        <w:rPr>
          <w:rFonts w:hint="eastAsia" w:ascii="宋体" w:hAnsi="宋体" w:eastAsia="宋体" w:cs="宋体"/>
          <w:b/>
          <w:bCs/>
          <w:sz w:val="24"/>
          <w:szCs w:val="24"/>
          <w:highlight w:val="none"/>
        </w:rPr>
        <w:t>货款支付</w:t>
      </w:r>
    </w:p>
    <w:p w14:paraId="4DABD24E">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1.付款方式：</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15CF4040">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2.乙方须向甲方出具合法有效的完税发票，甲方进行支付结算。</w:t>
      </w:r>
    </w:p>
    <w:p w14:paraId="7CACE6FD">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3.结算方式：银行转账。</w:t>
      </w:r>
    </w:p>
    <w:p w14:paraId="26FCB7AA">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 xml:space="preserve">第四条 </w:t>
      </w:r>
      <w:r>
        <w:rPr>
          <w:rFonts w:hint="eastAsia" w:ascii="宋体" w:hAnsi="宋体" w:cs="宋体"/>
          <w:b/>
          <w:bCs/>
          <w:sz w:val="24"/>
          <w:szCs w:val="24"/>
          <w:highlight w:val="none"/>
          <w:lang w:val="en-US" w:eastAsia="zh-CN"/>
        </w:rPr>
        <w:t>供货及质保</w:t>
      </w:r>
    </w:p>
    <w:p w14:paraId="2A47C28C">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乙方在合同签订生效之日起，按甲方指定时间、地点</w:t>
      </w:r>
      <w:r>
        <w:rPr>
          <w:rFonts w:hint="eastAsia" w:ascii="宋体" w:hAnsi="宋体" w:cs="宋体"/>
          <w:sz w:val="24"/>
          <w:szCs w:val="24"/>
          <w:highlight w:val="none"/>
          <w:lang w:val="en-US" w:eastAsia="zh-CN"/>
        </w:rPr>
        <w:t>供</w:t>
      </w:r>
      <w:r>
        <w:rPr>
          <w:rFonts w:hint="eastAsia" w:ascii="宋体" w:hAnsi="宋体" w:eastAsia="宋体" w:cs="宋体"/>
          <w:sz w:val="24"/>
          <w:szCs w:val="24"/>
          <w:highlight w:val="none"/>
        </w:rPr>
        <w:t>货。</w:t>
      </w:r>
    </w:p>
    <w:p w14:paraId="11A4F37F">
      <w:pPr>
        <w:pStyle w:val="10"/>
        <w:spacing w:line="360" w:lineRule="auto"/>
        <w:ind w:firstLine="48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供货</w:t>
      </w:r>
      <w:r>
        <w:rPr>
          <w:rFonts w:hint="eastAsia" w:ascii="宋体" w:hAnsi="宋体" w:eastAsia="宋体" w:cs="宋体"/>
          <w:sz w:val="24"/>
          <w:szCs w:val="24"/>
          <w:highlight w:val="none"/>
        </w:rPr>
        <w:t>期限：</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none"/>
          <w:lang w:val="en-US" w:eastAsia="zh-CN"/>
        </w:rPr>
        <w:t>。</w:t>
      </w:r>
    </w:p>
    <w:p w14:paraId="28419EA3">
      <w:pPr>
        <w:pStyle w:val="10"/>
        <w:spacing w:line="360" w:lineRule="auto"/>
        <w:ind w:firstLine="480"/>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供货</w:t>
      </w:r>
      <w:r>
        <w:rPr>
          <w:rFonts w:hint="eastAsia" w:ascii="宋体" w:hAnsi="宋体" w:eastAsia="宋体" w:cs="宋体"/>
          <w:sz w:val="24"/>
          <w:szCs w:val="24"/>
          <w:highlight w:val="none"/>
        </w:rPr>
        <w:t>地点：</w:t>
      </w:r>
      <w:r>
        <w:rPr>
          <w:rFonts w:hint="eastAsia" w:ascii="宋体" w:hAnsi="宋体" w:cs="宋体"/>
          <w:sz w:val="24"/>
          <w:szCs w:val="24"/>
          <w:highlight w:val="none"/>
          <w:lang w:val="en-US" w:eastAsia="zh-CN"/>
        </w:rPr>
        <w:t>富平县公安局。</w:t>
      </w:r>
    </w:p>
    <w:p w14:paraId="4621EC9F">
      <w:pPr>
        <w:pStyle w:val="10"/>
        <w:spacing w:line="360" w:lineRule="auto"/>
        <w:ind w:firstLine="480"/>
        <w:rPr>
          <w:rFonts w:hint="eastAsia" w:ascii="宋体" w:hAnsi="宋体" w:cs="宋体"/>
          <w:sz w:val="24"/>
          <w:szCs w:val="24"/>
          <w:highlight w:val="none"/>
          <w:u w:val="none"/>
          <w:lang w:val="en-US" w:eastAsia="zh-CN"/>
        </w:rPr>
      </w:pPr>
      <w:r>
        <w:rPr>
          <w:rFonts w:hint="eastAsia" w:ascii="宋体" w:hAnsi="宋体" w:cs="宋体"/>
          <w:sz w:val="24"/>
          <w:szCs w:val="24"/>
          <w:highlight w:val="none"/>
          <w:lang w:val="en-US" w:eastAsia="zh-CN"/>
        </w:rPr>
        <w:t>3.质保期：</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none"/>
          <w:lang w:val="en-US" w:eastAsia="zh-CN"/>
        </w:rPr>
        <w:t>。</w:t>
      </w:r>
    </w:p>
    <w:p w14:paraId="3CAB305C">
      <w:pPr>
        <w:pStyle w:val="10"/>
        <w:spacing w:line="360" w:lineRule="auto"/>
        <w:ind w:firstLine="480"/>
        <w:rPr>
          <w:rFonts w:hint="default" w:ascii="宋体" w:hAnsi="宋体" w:cs="宋体"/>
          <w:sz w:val="24"/>
          <w:szCs w:val="24"/>
          <w:highlight w:val="none"/>
          <w:u w:val="none"/>
          <w:lang w:val="en-US" w:eastAsia="zh-CN"/>
        </w:rPr>
      </w:pPr>
      <w:r>
        <w:rPr>
          <w:rFonts w:hint="eastAsia" w:ascii="宋体" w:hAnsi="宋体" w:cs="宋体"/>
          <w:sz w:val="24"/>
          <w:szCs w:val="24"/>
          <w:highlight w:val="none"/>
          <w:u w:val="none"/>
          <w:lang w:val="en-US" w:eastAsia="zh-CN"/>
        </w:rPr>
        <w:t>4.质量要求：</w:t>
      </w:r>
      <w:r>
        <w:rPr>
          <w:rFonts w:hint="eastAsia" w:ascii="宋体" w:hAnsi="宋体" w:cs="宋体"/>
          <w:color w:val="auto"/>
          <w:kern w:val="0"/>
          <w:sz w:val="24"/>
          <w:szCs w:val="24"/>
          <w:highlight w:val="none"/>
          <w:lang w:val="en-US" w:eastAsia="zh-CN"/>
        </w:rPr>
        <w:t>符合国家及行业相关标准并经采购人验收合格</w:t>
      </w:r>
      <w:r>
        <w:rPr>
          <w:rFonts w:hint="eastAsia" w:ascii="宋体" w:hAnsi="宋体" w:cs="宋体"/>
          <w:color w:val="auto"/>
          <w:sz w:val="24"/>
          <w:szCs w:val="24"/>
          <w:highlight w:val="none"/>
          <w:lang w:val="en-US" w:eastAsia="zh-CN"/>
        </w:rPr>
        <w:t>。</w:t>
      </w:r>
    </w:p>
    <w:p w14:paraId="25266409">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第五条</w:t>
      </w:r>
      <w:r>
        <w:rPr>
          <w:rFonts w:hint="eastAsia" w:ascii="宋体" w:hAnsi="宋体" w:cs="宋体"/>
          <w:b/>
          <w:bCs/>
          <w:sz w:val="24"/>
          <w:szCs w:val="24"/>
          <w:highlight w:val="none"/>
          <w:lang w:val="en-US" w:eastAsia="zh-CN"/>
        </w:rPr>
        <w:t xml:space="preserve"> </w:t>
      </w:r>
      <w:r>
        <w:rPr>
          <w:rFonts w:hint="eastAsia" w:ascii="宋体" w:hAnsi="宋体" w:eastAsia="宋体" w:cs="宋体"/>
          <w:b/>
          <w:bCs/>
          <w:sz w:val="24"/>
          <w:szCs w:val="24"/>
          <w:highlight w:val="none"/>
        </w:rPr>
        <w:t>质量保证</w:t>
      </w:r>
    </w:p>
    <w:p w14:paraId="6780B1FD">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1.乙方须提供全新的、未使用过的合格正品货物（含零部件、配件等），完全符合合同规定的质量、规格和性能的要求。</w:t>
      </w:r>
    </w:p>
    <w:p w14:paraId="0F008D61">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2.乙方提供的节能和环保产品必须是列入节能、环保标志产品品目清单中的产品。</w:t>
      </w:r>
    </w:p>
    <w:p w14:paraId="1F634D55">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3.质量标准按照最新颁布的国家标准、行业标准或制造商企业标准确定，上述标准不一致的，以严格标准为准。</w:t>
      </w:r>
    </w:p>
    <w:p w14:paraId="020467D3">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4.货物制造质量出现问题，乙方应负责三包（包修、包换、包退），费用由乙方负担，甲方有权到乙方生产场地检查货物质量和生产进度。</w:t>
      </w:r>
    </w:p>
    <w:p w14:paraId="565C80A6">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第六条 权利保证</w:t>
      </w:r>
    </w:p>
    <w:p w14:paraId="5B92E2A7">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1.乙方保证对其出售的货物享有合法的权利。</w:t>
      </w:r>
    </w:p>
    <w:p w14:paraId="24D3D046">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2.乙方保证对其出售的货物上不存在任何未曾向甲方透露的担保物权，如抵押权、质押权、留置权。</w:t>
      </w:r>
    </w:p>
    <w:p w14:paraId="53609BAF">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3.乙方保证对其出售的货物或其任何一部分没有侵犯第三方的专利权、版权、商标权或其他权利。</w:t>
      </w:r>
    </w:p>
    <w:p w14:paraId="75987233">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4.如甲方在使用该货物构成上述侵权的，则由乙方承担全部责任。</w:t>
      </w:r>
    </w:p>
    <w:p w14:paraId="28C66574">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 xml:space="preserve">第七条 包装要求与运输方式   </w:t>
      </w:r>
    </w:p>
    <w:p w14:paraId="70846175">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1.除合同另有规定外，乙方提供的全部货物均应按标准保护措施进行包装，该包装应适应于远距离运输、防潮、防震、防锈和防野蛮装卸，以确保货物安全运抵指定地点。</w:t>
      </w:r>
    </w:p>
    <w:p w14:paraId="69B54FD3">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2.每一包装单元应附详细的装箱单和质量合格证。</w:t>
      </w:r>
    </w:p>
    <w:p w14:paraId="515434DB">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3.货物（产品）运输方式：</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67570FA5">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4.乙方负责货物（产品）运输，货物运输的合理损耗及计算方法乙方支付。</w:t>
      </w:r>
    </w:p>
    <w:p w14:paraId="702D4866">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第八条 货物验收</w:t>
      </w:r>
    </w:p>
    <w:p w14:paraId="0F7A39AE">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1.货物验收由甲方组织，乙方配合，并按下列程序进行：</w:t>
      </w:r>
    </w:p>
    <w:p w14:paraId="53963CDD">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（1）交货验收时，乙方须提供货物（产品）的合格证、装箱清单、配件、随机工具、用户使用手册（产品使用说明书）、保修卡等资料交付给甲方；</w:t>
      </w:r>
    </w:p>
    <w:p w14:paraId="4E6F1584">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（2）到货验收：货物到达后，按合同第一条款的货物清单和装箱单逐一核对，同时检查货物外观，是否有划痕或破损的，并做好相应记录；</w:t>
      </w:r>
    </w:p>
    <w:p w14:paraId="376AD993">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按乙方承诺的产品包装环保材料进行验收，必要时乙方需提供检测报告，甲方发现虚假承诺时，将扣除总货款的</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%作为处罚。</w:t>
      </w:r>
    </w:p>
    <w:p w14:paraId="0F90F056">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（3）货物初验：以甲方要求为准；</w:t>
      </w:r>
    </w:p>
    <w:p w14:paraId="6AEA478E">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（4）货物终验：以甲方要求为准；</w:t>
      </w:r>
    </w:p>
    <w:p w14:paraId="16381166">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（5）质量验收合格，双方签署质量验收报告。</w:t>
      </w:r>
    </w:p>
    <w:p w14:paraId="76493ED6">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2.货物验收依据：</w:t>
      </w:r>
    </w:p>
    <w:p w14:paraId="53AC03D7">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（1）招标文件；</w:t>
      </w:r>
    </w:p>
    <w:p w14:paraId="15F41FC3">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（2）投标文件；</w:t>
      </w:r>
    </w:p>
    <w:p w14:paraId="3C490F89">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（3）采购合同及补充协议。</w:t>
      </w:r>
    </w:p>
    <w:p w14:paraId="3DBF069D">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3.货物验收时发现问题的处理办法：</w:t>
      </w:r>
    </w:p>
    <w:p w14:paraId="2B8A4F35">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（1）乙方提供不符合招标文件和本合同规定的货物（产品），甲方有权拒绝接受；</w:t>
      </w:r>
    </w:p>
    <w:p w14:paraId="362DA638">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104FDE78">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（3）如货物经乙方3次维修仍不能达到合同约定的质量标准，甲方有权退货，并视作乙方不能交付货物而须支付违约赔偿金给甲方，甲方还可依法追究乙方的违约责任； </w:t>
      </w:r>
    </w:p>
    <w:p w14:paraId="5C4A070A">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（4）乙方不能完整交付货物及本条第一款规定的单证和工具的，必须负责补齐，否则视为未按合同约定交货；</w:t>
      </w:r>
    </w:p>
    <w:p w14:paraId="11F04DB1">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）超出合理磅差的处理方法：/。</w:t>
      </w:r>
    </w:p>
    <w:p w14:paraId="6F73441F">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第九条 售后服务</w:t>
      </w:r>
    </w:p>
    <w:p w14:paraId="38B6E58B">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乙方应按照国家有关法律法规和“三包”规定以及招标文件要求提供服务。</w:t>
      </w:r>
    </w:p>
    <w:p w14:paraId="40BE1480">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第十条 违约责任</w:t>
      </w:r>
    </w:p>
    <w:p w14:paraId="0F26D771">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1.甲方违约责任</w:t>
      </w:r>
    </w:p>
    <w:p w14:paraId="1DAAAB1E">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（1）甲方无正当理由拒收货物的，甲方应偿付合同总价</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%的违约金；</w:t>
      </w:r>
    </w:p>
    <w:p w14:paraId="6B02A3C9">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（2）甲方逾期支付货款的，除应及时付足货款外，应向乙方每天支付欠款总额</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‰的滞纳金；但累计滞纳金总额不超过欠款总额的</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7F663792">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2.乙方违约责任</w:t>
      </w:r>
    </w:p>
    <w:p w14:paraId="3F9C8B06">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（1）如乙方不能交付货物，甲方有权扣留全部履约保证金</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若有</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；同时乙方应向甲方支付合同总价</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％的违约金；</w:t>
      </w:r>
    </w:p>
    <w:p w14:paraId="05B95794">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（2）乙方逾期交付货物的，每逾期1天，乙方向甲方偿付逾期交货部分货款总额的</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‰的滞纳金。如乙方逾期交货达10天，甲方有权解除合同，解除合同的通知自到达乙方时生效；</w:t>
      </w:r>
    </w:p>
    <w:p w14:paraId="1D80DB76">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（3）乙方所交付的货物品种、型号、规格不符合合同规定的，甲方有权拒收。甲方拒收的，乙方应向甲方支付货款总额</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%的违约金；</w:t>
      </w:r>
    </w:p>
    <w:p w14:paraId="7A05BEE3">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4）乙方货物经甲方送交具有法定资格条件的质量技术监督机构检测后，如检测结果认定货物质量不符合本合同规定标准的，则视为乙方没有按时交货而违约，乙方须在10天内无条件更换合格的货物，如逾期不能更换合格的货物，甲方有权终止本合同，乙方应另向甲方支付货款总额的</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%的违约金；</w:t>
      </w:r>
    </w:p>
    <w:p w14:paraId="07A8D690">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5）在乙方承诺的或国家规定的质保期内（取两者中最长的期限），如经乙方两次维修或更换，货物仍不能达到合同约定的质量标准，甲方有权退货，乙方应退回全部货款，并按第3款处理，同时，乙方还须赔偿甲方因此遭受的损失；</w:t>
      </w:r>
    </w:p>
    <w:p w14:paraId="223E6641">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（6）乙方在承担上述1-</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款一项或多项违约责任后，仍应继续履行合同规定的义务（甲方解除合同的除外）。甲方未能及时追究乙方的任何一项违约责任并不表明甲方放弃追究乙方该项或其他违约责任；</w:t>
      </w:r>
    </w:p>
    <w:p w14:paraId="38AC9197">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）乙方偿付的违约金不足以弥补甲方损失的，还应按甲方损失尚未弥补的部分，支付赔偿金给甲方。</w:t>
      </w:r>
    </w:p>
    <w:p w14:paraId="39650D18">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b/>
          <w:bCs/>
          <w:sz w:val="24"/>
          <w:szCs w:val="24"/>
          <w:highlight w:val="none"/>
        </w:rPr>
        <w:t>第十</w:t>
      </w:r>
      <w:r>
        <w:rPr>
          <w:rFonts w:hint="eastAsia" w:ascii="宋体" w:hAnsi="宋体" w:cs="宋体"/>
          <w:b/>
          <w:bCs/>
          <w:sz w:val="24"/>
          <w:szCs w:val="24"/>
          <w:highlight w:val="none"/>
          <w:lang w:val="en-US" w:eastAsia="zh-CN"/>
        </w:rPr>
        <w:t>一</w:t>
      </w:r>
      <w:r>
        <w:rPr>
          <w:rFonts w:hint="eastAsia" w:ascii="宋体" w:hAnsi="宋体" w:eastAsia="宋体" w:cs="宋体"/>
          <w:b/>
          <w:bCs/>
          <w:sz w:val="24"/>
          <w:szCs w:val="24"/>
          <w:highlight w:val="none"/>
        </w:rPr>
        <w:t>条 合同的变更和终止</w:t>
      </w:r>
    </w:p>
    <w:p w14:paraId="57E61225">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除《中华人民共和国政府采购法》第49条、第50条第二款规定的情形外，本合同一经签订，甲乙双方不得擅自变更、中止或终止合同。</w:t>
      </w:r>
    </w:p>
    <w:p w14:paraId="6250EBEF">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ascii="宋体" w:hAnsi="宋体" w:cs="宋体"/>
          <w:b/>
          <w:bCs/>
          <w:sz w:val="24"/>
          <w:szCs w:val="24"/>
          <w:highlight w:val="none"/>
          <w:lang w:val="en-US" w:eastAsia="zh-CN"/>
        </w:rPr>
        <w:t>二</w:t>
      </w:r>
      <w:r>
        <w:rPr>
          <w:rFonts w:hint="eastAsia" w:ascii="宋体" w:hAnsi="宋体" w:eastAsia="宋体" w:cs="宋体"/>
          <w:b/>
          <w:bCs/>
          <w:sz w:val="24"/>
          <w:szCs w:val="24"/>
          <w:highlight w:val="none"/>
        </w:rPr>
        <w:t>条 争议的解决</w:t>
      </w:r>
    </w:p>
    <w:p w14:paraId="545349E9">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422BDA56">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2.因履行本合同引起的或与本合同有关的争议，甲、乙双方应首先通过友好协商解决，如果协商不成，则采取以下第（1）种方式解决争议：</w:t>
      </w:r>
    </w:p>
    <w:p w14:paraId="4F9B629F">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（1）向甲方所在地有管辖权的人民法院提起诉讼；</w:t>
      </w:r>
    </w:p>
    <w:p w14:paraId="5F21C8BB">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（2）向</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仲裁委员会按其仲裁规则申请仲裁。</w:t>
      </w:r>
    </w:p>
    <w:p w14:paraId="278DCF41">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ascii="宋体" w:hAnsi="宋体" w:cs="宋体"/>
          <w:b/>
          <w:bCs/>
          <w:sz w:val="24"/>
          <w:szCs w:val="24"/>
          <w:highlight w:val="none"/>
          <w:lang w:val="en-US" w:eastAsia="zh-CN"/>
        </w:rPr>
        <w:t>三</w:t>
      </w:r>
      <w:r>
        <w:rPr>
          <w:rFonts w:hint="eastAsia" w:ascii="宋体" w:hAnsi="宋体" w:eastAsia="宋体" w:cs="宋体"/>
          <w:b/>
          <w:bCs/>
          <w:sz w:val="24"/>
          <w:szCs w:val="24"/>
          <w:highlight w:val="none"/>
        </w:rPr>
        <w:t>条 合同文件</w:t>
      </w:r>
    </w:p>
    <w:p w14:paraId="3A15BB77">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1CCDEEBE">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1.本合同书</w:t>
      </w:r>
    </w:p>
    <w:p w14:paraId="2505E34B">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rPr>
        <w:t>通知书</w:t>
      </w:r>
    </w:p>
    <w:p w14:paraId="1973784C">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3.招标文件(含澄清或者修改文件)</w:t>
      </w:r>
    </w:p>
    <w:p w14:paraId="3A4B8E2D">
      <w:pPr>
        <w:pStyle w:val="10"/>
        <w:spacing w:line="360" w:lineRule="auto"/>
        <w:ind w:firstLine="48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.投标文件</w:t>
      </w:r>
    </w:p>
    <w:p w14:paraId="07C6748C">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ascii="宋体" w:hAnsi="宋体" w:cs="宋体"/>
          <w:b/>
          <w:bCs/>
          <w:sz w:val="24"/>
          <w:szCs w:val="24"/>
          <w:highlight w:val="none"/>
          <w:lang w:val="en-US" w:eastAsia="zh-CN"/>
        </w:rPr>
        <w:t>四</w:t>
      </w:r>
      <w:r>
        <w:rPr>
          <w:rFonts w:hint="eastAsia" w:ascii="宋体" w:hAnsi="宋体" w:eastAsia="宋体" w:cs="宋体"/>
          <w:b/>
          <w:bCs/>
          <w:sz w:val="24"/>
          <w:szCs w:val="24"/>
          <w:highlight w:val="none"/>
        </w:rPr>
        <w:t>条 合同生效及其他</w:t>
      </w:r>
    </w:p>
    <w:p w14:paraId="23980B05">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1.如有未尽事宜，由双方依法订立补充合同。</w:t>
      </w:r>
    </w:p>
    <w:p w14:paraId="1F1E3FCD">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2.本合同自签订之日起生效。</w:t>
      </w:r>
    </w:p>
    <w:p w14:paraId="20C2103A">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3.本合同一式</w:t>
      </w:r>
      <w:r>
        <w:rPr>
          <w:rFonts w:hint="eastAsia" w:ascii="宋体" w:hAnsi="宋体" w:cs="宋体"/>
          <w:sz w:val="24"/>
          <w:szCs w:val="24"/>
          <w:highlight w:val="none"/>
          <w:lang w:val="en-US" w:eastAsia="zh-CN"/>
        </w:rPr>
        <w:t>肆</w:t>
      </w:r>
      <w:r>
        <w:rPr>
          <w:rFonts w:hint="eastAsia" w:ascii="宋体" w:hAnsi="宋体" w:eastAsia="宋体" w:cs="宋体"/>
          <w:sz w:val="24"/>
          <w:szCs w:val="24"/>
          <w:highlight w:val="none"/>
        </w:rPr>
        <w:t>份，具有同等法律效力，甲乙双方各执贰份。</w:t>
      </w:r>
    </w:p>
    <w:p w14:paraId="7D5A57B7">
      <w:pPr>
        <w:pStyle w:val="11"/>
        <w:ind w:left="0" w:leftChars="0" w:firstLine="0" w:firstLineChars="0"/>
        <w:rPr>
          <w:rFonts w:hint="eastAsia" w:ascii="宋体" w:hAnsi="宋体" w:eastAsia="宋体" w:cs="宋体"/>
          <w:sz w:val="24"/>
          <w:szCs w:val="24"/>
          <w:highlight w:val="none"/>
        </w:rPr>
      </w:pPr>
    </w:p>
    <w:p w14:paraId="4BFDE308">
      <w:pPr>
        <w:pStyle w:val="11"/>
        <w:ind w:left="0" w:leftChars="0" w:firstLine="0" w:firstLineChars="0"/>
        <w:rPr>
          <w:rFonts w:hint="eastAsia" w:ascii="宋体" w:hAnsi="宋体" w:eastAsia="宋体" w:cs="宋体"/>
          <w:sz w:val="24"/>
          <w:szCs w:val="24"/>
          <w:highlight w:val="none"/>
        </w:rPr>
      </w:pPr>
    </w:p>
    <w:p w14:paraId="117CD76C">
      <w:pPr>
        <w:pStyle w:val="11"/>
        <w:ind w:left="0" w:leftChars="0" w:firstLine="0" w:firstLineChars="0"/>
        <w:rPr>
          <w:rFonts w:hint="eastAsia" w:ascii="宋体" w:hAnsi="宋体" w:eastAsia="宋体" w:cs="宋体"/>
          <w:sz w:val="24"/>
          <w:szCs w:val="24"/>
          <w:highlight w:val="none"/>
        </w:rPr>
      </w:pPr>
    </w:p>
    <w:p w14:paraId="3D645FD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甲方：   （盖章）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乙方：   （盖章）</w:t>
      </w:r>
    </w:p>
    <w:p w14:paraId="7BD0054B">
      <w:pPr>
        <w:spacing w:line="360" w:lineRule="auto"/>
        <w:ind w:firstLine="480" w:firstLineChars="200"/>
        <w:rPr>
          <w:rFonts w:hint="eastAsia" w:ascii="宋体" w:hAnsi="宋体" w:cs="宋体"/>
          <w:sz w:val="24"/>
          <w:szCs w:val="24"/>
          <w:highlight w:val="none"/>
          <w:lang w:val="en-US" w:eastAsia="zh-CN"/>
        </w:rPr>
      </w:pPr>
      <w:r>
        <w:rPr>
          <w:rFonts w:hint="eastAsia" w:ascii="宋体" w:hAnsi="宋体" w:eastAsia="宋体" w:cs="宋体"/>
          <w:sz w:val="24"/>
          <w:szCs w:val="24"/>
          <w:highlight w:val="none"/>
        </w:rPr>
        <w:t>法定代表人</w:t>
      </w:r>
      <w:r>
        <w:rPr>
          <w:rFonts w:hint="eastAsia" w:ascii="宋体" w:hAnsi="宋体" w:cs="宋体"/>
          <w:sz w:val="24"/>
          <w:szCs w:val="24"/>
          <w:highlight w:val="none"/>
          <w:lang w:val="en-US" w:eastAsia="zh-CN"/>
        </w:rPr>
        <w:t xml:space="preserve">或                       </w:t>
      </w:r>
      <w:r>
        <w:rPr>
          <w:rFonts w:hint="eastAsia" w:ascii="宋体" w:hAnsi="宋体" w:eastAsia="宋体" w:cs="宋体"/>
          <w:sz w:val="24"/>
          <w:szCs w:val="24"/>
          <w:highlight w:val="none"/>
        </w:rPr>
        <w:t>法定代表人</w:t>
      </w:r>
      <w:r>
        <w:rPr>
          <w:rFonts w:hint="eastAsia" w:ascii="宋体" w:hAnsi="宋体" w:cs="宋体"/>
          <w:sz w:val="24"/>
          <w:szCs w:val="24"/>
          <w:highlight w:val="none"/>
          <w:lang w:val="en-US" w:eastAsia="zh-CN"/>
        </w:rPr>
        <w:t>或</w:t>
      </w:r>
    </w:p>
    <w:p w14:paraId="0536DE87">
      <w:pPr>
        <w:spacing w:line="360" w:lineRule="auto"/>
        <w:ind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其授权代表</w:t>
      </w:r>
      <w:r>
        <w:rPr>
          <w:rFonts w:hint="eastAsia" w:ascii="宋体" w:hAnsi="宋体" w:eastAsia="宋体" w:cs="宋体"/>
          <w:sz w:val="24"/>
          <w:szCs w:val="24"/>
          <w:highlight w:val="none"/>
        </w:rPr>
        <w:t>：   （</w:t>
      </w:r>
      <w:r>
        <w:rPr>
          <w:rFonts w:hint="eastAsia" w:ascii="宋体" w:hAnsi="宋体" w:eastAsia="宋体" w:cs="宋体"/>
          <w:sz w:val="24"/>
          <w:szCs w:val="24"/>
          <w:highlight w:val="none"/>
          <w:lang w:val="en-US" w:eastAsia="zh-CN"/>
        </w:rPr>
        <w:t>签字或</w:t>
      </w:r>
      <w:r>
        <w:rPr>
          <w:rFonts w:hint="eastAsia" w:ascii="宋体" w:hAnsi="宋体" w:eastAsia="宋体" w:cs="宋体"/>
          <w:sz w:val="24"/>
          <w:szCs w:val="24"/>
          <w:highlight w:val="none"/>
        </w:rPr>
        <w:t xml:space="preserve">盖章）      </w:t>
      </w:r>
      <w:r>
        <w:rPr>
          <w:rFonts w:hint="eastAsia" w:ascii="宋体" w:hAnsi="宋体" w:cs="宋体"/>
          <w:sz w:val="24"/>
          <w:szCs w:val="24"/>
          <w:highlight w:val="none"/>
          <w:lang w:val="en-US" w:eastAsia="zh-CN"/>
        </w:rPr>
        <w:t>其授权代表</w:t>
      </w:r>
      <w:r>
        <w:rPr>
          <w:rFonts w:hint="eastAsia" w:ascii="宋体" w:hAnsi="宋体" w:eastAsia="宋体" w:cs="宋体"/>
          <w:sz w:val="24"/>
          <w:szCs w:val="24"/>
          <w:highlight w:val="none"/>
        </w:rPr>
        <w:t>：   （</w:t>
      </w:r>
      <w:r>
        <w:rPr>
          <w:rFonts w:hint="eastAsia" w:ascii="宋体" w:hAnsi="宋体" w:eastAsia="宋体" w:cs="宋体"/>
          <w:sz w:val="24"/>
          <w:szCs w:val="24"/>
          <w:highlight w:val="none"/>
          <w:lang w:val="en-US" w:eastAsia="zh-CN"/>
        </w:rPr>
        <w:t>签字或</w:t>
      </w:r>
      <w:r>
        <w:rPr>
          <w:rFonts w:hint="eastAsia" w:ascii="宋体" w:hAnsi="宋体" w:eastAsia="宋体" w:cs="宋体"/>
          <w:sz w:val="24"/>
          <w:szCs w:val="24"/>
          <w:highlight w:val="none"/>
        </w:rPr>
        <w:t>盖章）</w:t>
      </w:r>
    </w:p>
    <w:p w14:paraId="351FEB9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    址：                         地    址：</w:t>
      </w:r>
    </w:p>
    <w:p w14:paraId="7B5B472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w:t>
      </w:r>
    </w:p>
    <w:p w14:paraId="28E7795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账</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号：                         账</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号：</w:t>
      </w:r>
    </w:p>
    <w:p w14:paraId="75151D5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w:t>
      </w:r>
    </w:p>
    <w:p w14:paraId="36BC5898">
      <w:pPr>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sz w:val="24"/>
          <w:szCs w:val="24"/>
          <w:highlight w:val="none"/>
        </w:rPr>
        <w:t xml:space="preserve">签约日期：   年   月   日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签约日期：   年   月   日</w:t>
      </w:r>
    </w:p>
    <w:p w14:paraId="7783D1FD">
      <w:pPr>
        <w:keepNext w:val="0"/>
        <w:keepLines w:val="0"/>
        <w:pageBreakBefore w:val="0"/>
        <w:kinsoku/>
        <w:wordWrap/>
        <w:overflowPunct/>
        <w:topLinePunct w:val="0"/>
        <w:bidi w:val="0"/>
        <w:snapToGrid/>
        <w:spacing w:line="408" w:lineRule="auto"/>
        <w:ind w:firstLine="482" w:firstLineChars="200"/>
        <w:jc w:val="both"/>
        <w:textAlignment w:val="auto"/>
        <w:rPr>
          <w:rFonts w:hint="eastAsia" w:ascii="宋体" w:hAnsi="宋体" w:eastAsia="宋体" w:cs="宋体"/>
          <w:b/>
          <w:bCs/>
          <w:color w:val="auto"/>
          <w:sz w:val="24"/>
          <w:szCs w:val="24"/>
          <w:highlight w:val="none"/>
        </w:rPr>
      </w:pPr>
    </w:p>
    <w:p w14:paraId="18B228FD">
      <w:pPr>
        <w:keepNext w:val="0"/>
        <w:keepLines w:val="0"/>
        <w:pageBreakBefore w:val="0"/>
        <w:kinsoku/>
        <w:wordWrap/>
        <w:overflowPunct/>
        <w:topLinePunct w:val="0"/>
        <w:bidi w:val="0"/>
        <w:snapToGrid/>
        <w:spacing w:line="408" w:lineRule="auto"/>
        <w:ind w:firstLine="482" w:firstLineChars="200"/>
        <w:jc w:val="both"/>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注：本合同条款仅供参考，甲乙双方可根据实际情况进行补充</w:t>
      </w:r>
      <w:r>
        <w:rPr>
          <w:rFonts w:hint="eastAsia" w:ascii="宋体" w:hAnsi="宋体" w:eastAsia="宋体" w:cs="宋体"/>
          <w:b/>
          <w:bCs/>
          <w:color w:val="auto"/>
          <w:sz w:val="24"/>
          <w:szCs w:val="24"/>
          <w:highlight w:val="none"/>
          <w:lang w:val="en-US" w:eastAsia="zh-CN"/>
        </w:rPr>
        <w:t>。</w:t>
      </w:r>
    </w:p>
    <w:p w14:paraId="317BA8BD">
      <w:pPr>
        <w:numPr>
          <w:ilvl w:val="0"/>
          <w:numId w:val="0"/>
        </w:numPr>
        <w:spacing w:line="240" w:lineRule="auto"/>
        <w:rPr>
          <w:rFonts w:hint="eastAsia" w:ascii="宋体" w:hAnsi="宋体" w:eastAsia="宋体" w:cs="宋体"/>
          <w:b/>
          <w:bCs/>
          <w:sz w:val="28"/>
          <w:szCs w:val="28"/>
          <w:highlight w:val="none"/>
          <w:lang w:eastAsia="zh-CN"/>
        </w:rPr>
      </w:pPr>
    </w:p>
    <w:p w14:paraId="398077AF">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855740"/>
    <w:rsid w:val="3CA86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99"/>
  </w:style>
  <w:style w:type="paragraph" w:styleId="4">
    <w:name w:val="Body Text Indent"/>
    <w:basedOn w:val="1"/>
    <w:next w:val="1"/>
    <w:unhideWhenUsed/>
    <w:qFormat/>
    <w:uiPriority w:val="99"/>
    <w:pPr>
      <w:ind w:left="420" w:leftChars="200"/>
    </w:pPr>
  </w:style>
  <w:style w:type="paragraph" w:styleId="5">
    <w:name w:val="toc 1"/>
    <w:basedOn w:val="1"/>
    <w:next w:val="1"/>
    <w:qFormat/>
    <w:uiPriority w:val="39"/>
  </w:style>
  <w:style w:type="paragraph" w:styleId="6">
    <w:name w:val="toc 2"/>
    <w:basedOn w:val="1"/>
    <w:next w:val="1"/>
    <w:qFormat/>
    <w:uiPriority w:val="39"/>
    <w:pPr>
      <w:ind w:left="420" w:leftChars="200"/>
    </w:pPr>
  </w:style>
  <w:style w:type="paragraph" w:styleId="7">
    <w:name w:val="Body Text First Indent 2"/>
    <w:basedOn w:val="4"/>
    <w:next w:val="6"/>
    <w:qFormat/>
    <w:uiPriority w:val="0"/>
    <w:pPr>
      <w:ind w:firstLine="420" w:firstLineChars="200"/>
    </w:pPr>
  </w:style>
  <w:style w:type="paragraph" w:styleId="10">
    <w:name w:val="List Paragraph"/>
    <w:basedOn w:val="1"/>
    <w:autoRedefine/>
    <w:unhideWhenUsed/>
    <w:qFormat/>
    <w:uiPriority w:val="99"/>
    <w:pPr>
      <w:ind w:firstLine="420" w:firstLineChars="200"/>
    </w:pPr>
  </w:style>
  <w:style w:type="paragraph" w:customStyle="1" w:styleId="11">
    <w:name w:val="首行缩进"/>
    <w:basedOn w:val="1"/>
    <w:autoRedefine/>
    <w:qFormat/>
    <w:uiPriority w:val="99"/>
    <w:pPr>
      <w:ind w:firstLine="480" w:firstLineChars="200"/>
    </w:pPr>
    <w:rPr>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3031</Words>
  <Characters>3077</Characters>
  <Lines>0</Lines>
  <Paragraphs>0</Paragraphs>
  <TotalTime>1</TotalTime>
  <ScaleCrop>false</ScaleCrop>
  <LinksUpToDate>false</LinksUpToDate>
  <CharactersWithSpaces>3550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2025-10-22T02:15:00Z</dcterms:created>
  <dc:creator>asus</dc:creator>
  <cp:lastModifiedBy>MoSes</cp:lastModifiedBy>
  <dcterms:modified xsi:type="dcterms:W3CDTF">2025-12-05T00:48:37Z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eyJoZGlkIjoiOGEyNWM2YzAxNGM0MTY4NmJkNzdkYzk5NzNkZTZjNDkiLCJ1c2VySWQiOiIyNjcyNjI5ODQifQ==</vt:lpwstr>
  </property>
  <property fmtid="{D5CDD505-2E9C-101B-9397-08002B2CF9AE}" pid="4" name="ICV">
    <vt:lpwstr>783C90AD00AF493BB357E20369FA6F64_12</vt:lpwstr>
  </property>
</Properties>
</file>