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版本号：HRC-ZBDL-2025-01780（2）20251225001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富平县PPP项目存量处置咨询服务项目(二次)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HRC-ZBDL-2025-01780（2）</w:t>
      </w:r>
      <w:r>
        <w:br/>
      </w:r>
      <w:r>
        <w:br/>
      </w:r>
      <w:r>
        <w:br/>
      </w:r>
    </w:p>
    <w:p>
      <w:pPr>
        <w:pStyle w:val="null3"/>
        <w:jc w:val="center"/>
        <w:outlineLvl w:val="2"/>
      </w:pPr>
      <w:r>
        <w:rPr>
          <w:rFonts w:ascii="仿宋_GB2312" w:hAnsi="仿宋_GB2312" w:cs="仿宋_GB2312" w:eastAsia="仿宋_GB2312"/>
          <w:sz w:val="28"/>
          <w:b/>
        </w:rPr>
        <w:t>富平县财政局（本级）</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富平县财政局（本级）</w:t>
      </w:r>
      <w:r>
        <w:rPr>
          <w:rFonts w:ascii="仿宋_GB2312" w:hAnsi="仿宋_GB2312" w:cs="仿宋_GB2312" w:eastAsia="仿宋_GB2312"/>
        </w:rPr>
        <w:t>委托，拟对</w:t>
      </w:r>
      <w:r>
        <w:rPr>
          <w:rFonts w:ascii="仿宋_GB2312" w:hAnsi="仿宋_GB2312" w:cs="仿宋_GB2312" w:eastAsia="仿宋_GB2312"/>
        </w:rPr>
        <w:t>富平县PPP项目存量处置咨询服务项目(二次)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HRC-ZBDL-2025-01780（2）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富平县PPP项目存量处置咨询服务项目(二次)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PPP项目存量处置咨询服务项目拟按照国务院办公厅转发财政部《关于规范政府和社会资本存量项目建设和运营的指导意见》（国办函〔2025〕84号）管理要求，对富平县在执富平至耀州红色旅游公路PPP项目、富平县城区市政道路建设工程PPP项目需开展存量处置工作，完成项目存量处置方案、谈判及补充协议起草等相关工作，实现项目降本增效，推动项目平稳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采购包1（富平县PPP项目存量处置咨询服务项目）：属于专门面向中小企业采购。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审计报告（成立时间至提交磋商响应文件截止时间不足一年的可提供成立后任意时段的资产负债表），或其基本存款账户开户银行出具的资信证明及基本存款账户开户许可证（基本账户信息表）；（注：各供应商经审计的财务审计报告需赋加二维码）</w:t>
      </w:r>
    </w:p>
    <w:p>
      <w:pPr>
        <w:pStyle w:val="null3"/>
      </w:pPr>
      <w:r>
        <w:rPr>
          <w:rFonts w:ascii="仿宋_GB2312" w:hAnsi="仿宋_GB2312" w:cs="仿宋_GB2312" w:eastAsia="仿宋_GB2312"/>
        </w:rPr>
        <w:t>3、税收缴纳证明：提供2025年4月至今已缴纳的至少一个月的纳税证明或完税证明（任意税种），依法免税的单位应提供相关证明材料；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6、前三年无重大违法记录声明：参加政府采购活动前三年内，在经营活动中没有重大违法记录的书面声明；</w:t>
      </w:r>
    </w:p>
    <w:p>
      <w:pPr>
        <w:pStyle w:val="null3"/>
      </w:pPr>
      <w:r>
        <w:rPr>
          <w:rFonts w:ascii="仿宋_GB2312" w:hAnsi="仿宋_GB2312" w:cs="仿宋_GB2312" w:eastAsia="仿宋_GB2312"/>
        </w:rPr>
        <w:t>7、法定代表人身份证明和法定代表人授权委托书：法定代表人直接负责投标的，须在磋商文件中提供法定代表人身份证明；法定代表人授权代表负责投标的，须在磋商文件中提供法定代表人身份证明和法定代表人授权委托书。非法人单位参照执行；</w:t>
      </w:r>
    </w:p>
    <w:p>
      <w:pPr>
        <w:pStyle w:val="null3"/>
      </w:pPr>
      <w:r>
        <w:rPr>
          <w:rFonts w:ascii="仿宋_GB2312" w:hAnsi="仿宋_GB2312" w:cs="仿宋_GB2312" w:eastAsia="仿宋_GB2312"/>
        </w:rPr>
        <w:t>8、信用记录：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9、本项目不接受联合体磋商：本项目不接受联合体磋商。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富平县财政局（本级）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富平县频阳大道北段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0913-8207564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贺工、韩工、张工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15029425423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开户名称：华睿诚项目管理有限公司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银行账号：30205868006828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代理服务费收费标准：参照《国家计委关于印发&lt;招标代理服务收费管理暂行办法&gt;的通知》(计价格〔2002〕1980号)按差额定律累进法计算收取，由成交单位领取成交通知书前一次性支付。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富平县财政局（本级）</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富平县财政局（本级）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富平县财政局（本级）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联系人：贺娜</w:t>
      </w:r>
    </w:p>
    <w:p>
      <w:pPr>
        <w:pStyle w:val="null3"/>
      </w:pPr>
      <w:r>
        <w:rPr>
          <w:rFonts w:ascii="仿宋_GB2312" w:hAnsi="仿宋_GB2312" w:cs="仿宋_GB2312" w:eastAsia="仿宋_GB2312"/>
        </w:rPr>
        <w:t>联系电话：15029425423</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PPP项目存量处置咨询服务项目拟按照国务院办公厅转发财政部《关于规范政府和社会资本存量项目建设和运营的指导意见》（国办函〔2025〕84号）管理要求，对富平县在执富平至耀州红色旅游公路PPP项目、富平县城区市政道路建设工程PPP项目需开展存量处置工作，完成项目存量处置方案、谈判及补充协议起草等相关工作，实现项目降本增效，推动项目平稳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富平县PPP项目存量处置咨询服务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标的名称：富平县PPP项目存量处置咨询服务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2"/>
              </w:rPr>
              <w:t>一、项目概况</w:t>
            </w:r>
          </w:p>
          <w:p>
            <w:pPr>
              <w:pStyle w:val="null3"/>
              <w:ind w:firstLine="440"/>
              <w:jc w:val="both"/>
            </w:pPr>
            <w:r>
              <w:rPr>
                <w:rFonts w:ascii="仿宋_GB2312" w:hAnsi="仿宋_GB2312" w:cs="仿宋_GB2312" w:eastAsia="仿宋_GB2312"/>
                <w:sz w:val="22"/>
              </w:rPr>
              <w:t>富平县</w:t>
            </w:r>
            <w:r>
              <w:rPr>
                <w:rFonts w:ascii="仿宋_GB2312" w:hAnsi="仿宋_GB2312" w:cs="仿宋_GB2312" w:eastAsia="仿宋_GB2312"/>
                <w:sz w:val="22"/>
              </w:rPr>
              <w:t>PPP项目存量处置咨询服务项目拟按照国务院办公厅转发财政部《关于规范政府和社会资本存量项目建设和运营的指导意见》（国办函〔2025〕84号）管理要求，对富平县在执富平至耀州红色旅游公路PPP项目、富平县城区市政道路建设工程PPP项目需开展存量处置工作，完成项目存量处置方案、谈判及补充协议起草等相关工作，实现项目降本增效，推动项目平稳运行。</w:t>
            </w:r>
          </w:p>
          <w:p>
            <w:pPr>
              <w:pStyle w:val="null3"/>
              <w:ind w:firstLine="440"/>
              <w:jc w:val="both"/>
            </w:pPr>
            <w:r>
              <w:rPr>
                <w:rFonts w:ascii="仿宋_GB2312" w:hAnsi="仿宋_GB2312" w:cs="仿宋_GB2312" w:eastAsia="仿宋_GB2312"/>
                <w:sz w:val="22"/>
              </w:rPr>
              <w:t>二、服务内容</w:t>
            </w:r>
          </w:p>
          <w:p>
            <w:pPr>
              <w:pStyle w:val="null3"/>
              <w:ind w:firstLine="440"/>
              <w:jc w:val="both"/>
            </w:pPr>
            <w:r>
              <w:rPr>
                <w:rFonts w:ascii="仿宋_GB2312" w:hAnsi="仿宋_GB2312" w:cs="仿宋_GB2312" w:eastAsia="仿宋_GB2312"/>
                <w:sz w:val="22"/>
              </w:rPr>
              <w:t>1.编制存量项目处置方案</w:t>
            </w:r>
          </w:p>
          <w:p>
            <w:pPr>
              <w:pStyle w:val="null3"/>
              <w:ind w:firstLine="440"/>
              <w:jc w:val="both"/>
            </w:pPr>
            <w:r>
              <w:rPr>
                <w:rFonts w:ascii="仿宋_GB2312" w:hAnsi="仿宋_GB2312" w:cs="仿宋_GB2312" w:eastAsia="仿宋_GB2312"/>
                <w:sz w:val="22"/>
              </w:rPr>
              <w:t>根据项目基础调研资料梳理情况，结合项目实施各方诉求，编制存量项目处置方案并经县政府审议通过，</w:t>
            </w:r>
            <w:r>
              <w:rPr>
                <w:rFonts w:ascii="仿宋_GB2312" w:hAnsi="仿宋_GB2312" w:cs="仿宋_GB2312" w:eastAsia="仿宋_GB2312"/>
                <w:sz w:val="22"/>
              </w:rPr>
              <w:t>就项目实施进展、结果、项目收益等进行汇总分析，按照《</w:t>
            </w:r>
            <w:r>
              <w:rPr>
                <w:rFonts w:ascii="仿宋_GB2312" w:hAnsi="仿宋_GB2312" w:cs="仿宋_GB2312" w:eastAsia="仿宋_GB2312"/>
                <w:sz w:val="22"/>
              </w:rPr>
              <w:t>PPP项目合同》约定、审计结果及双方沟通情况，进行财务测算，分析项目补助资金计划安排、项目支出责任可调整空间以及与财政支出能力匹配情况。</w:t>
            </w:r>
          </w:p>
          <w:p>
            <w:pPr>
              <w:pStyle w:val="null3"/>
              <w:ind w:firstLine="440"/>
              <w:jc w:val="both"/>
            </w:pPr>
            <w:r>
              <w:rPr>
                <w:rFonts w:ascii="仿宋_GB2312" w:hAnsi="仿宋_GB2312" w:cs="仿宋_GB2312" w:eastAsia="仿宋_GB2312"/>
                <w:sz w:val="22"/>
              </w:rPr>
              <w:t>2.协助与社会资本谈判</w:t>
            </w:r>
          </w:p>
          <w:p>
            <w:pPr>
              <w:pStyle w:val="null3"/>
              <w:ind w:firstLine="440"/>
              <w:jc w:val="both"/>
            </w:pPr>
            <w:r>
              <w:rPr>
                <w:rFonts w:ascii="仿宋_GB2312" w:hAnsi="仿宋_GB2312" w:cs="仿宋_GB2312" w:eastAsia="仿宋_GB2312"/>
                <w:sz w:val="22"/>
              </w:rPr>
              <w:t>根据存量项目处置方案及项目实际，协助采购人与社会资本就项目分类处置事宜进行谈判，配合同社会资本、金融机构就项目合作期限、融资利率、收益指标、运营成本等要素进行公平协商，共同降低项目合作成本，平滑财政支出，实现项目持续稳健运营。</w:t>
            </w:r>
          </w:p>
          <w:p>
            <w:pPr>
              <w:pStyle w:val="null3"/>
              <w:ind w:firstLine="440"/>
              <w:jc w:val="both"/>
            </w:pPr>
            <w:r>
              <w:rPr>
                <w:rFonts w:ascii="仿宋_GB2312" w:hAnsi="仿宋_GB2312" w:cs="仿宋_GB2312" w:eastAsia="仿宋_GB2312"/>
                <w:sz w:val="22"/>
              </w:rPr>
              <w:t>3.编制补充协议</w:t>
            </w:r>
          </w:p>
          <w:p>
            <w:pPr>
              <w:pStyle w:val="null3"/>
              <w:ind w:firstLine="440"/>
              <w:jc w:val="both"/>
            </w:pPr>
            <w:r>
              <w:rPr>
                <w:rFonts w:ascii="仿宋_GB2312" w:hAnsi="仿宋_GB2312" w:cs="仿宋_GB2312" w:eastAsia="仿宋_GB2312"/>
                <w:sz w:val="22"/>
              </w:rPr>
              <w:t>根据谈判结果及项目处置方案核心内容编制项目补充协议，明确后续回报水平、支付金额、支付时点等具体安排</w:t>
            </w:r>
            <w:r>
              <w:rPr>
                <w:rFonts w:ascii="仿宋_GB2312" w:hAnsi="仿宋_GB2312" w:cs="仿宋_GB2312" w:eastAsia="仿宋_GB2312"/>
                <w:sz w:val="22"/>
              </w:rPr>
              <w:t>。</w:t>
            </w:r>
            <w:r>
              <w:rPr>
                <w:rFonts w:ascii="仿宋_GB2312" w:hAnsi="仿宋_GB2312" w:cs="仿宋_GB2312" w:eastAsia="仿宋_GB2312"/>
                <w:sz w:val="22"/>
              </w:rPr>
              <w:t>经甲方审核通过后，协助甲方完成补充协议签订</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三、技术要求</w:t>
            </w:r>
          </w:p>
          <w:p>
            <w:pPr>
              <w:pStyle w:val="null3"/>
              <w:ind w:firstLine="440"/>
              <w:jc w:val="both"/>
            </w:pPr>
            <w:r>
              <w:rPr>
                <w:rFonts w:ascii="仿宋_GB2312" w:hAnsi="仿宋_GB2312" w:cs="仿宋_GB2312" w:eastAsia="仿宋_GB2312"/>
                <w:sz w:val="22"/>
              </w:rPr>
              <w:t>符合国家、行业相关规定规范及采购人需求。</w:t>
            </w:r>
          </w:p>
          <w:p>
            <w:pPr>
              <w:pStyle w:val="null3"/>
              <w:ind w:firstLine="440"/>
              <w:jc w:val="both"/>
            </w:pPr>
            <w:r>
              <w:rPr>
                <w:rFonts w:ascii="仿宋_GB2312" w:hAnsi="仿宋_GB2312" w:cs="仿宋_GB2312" w:eastAsia="仿宋_GB2312"/>
                <w:sz w:val="22"/>
              </w:rPr>
              <w:t>四、服务要求</w:t>
            </w:r>
          </w:p>
          <w:p>
            <w:pPr>
              <w:pStyle w:val="null3"/>
              <w:ind w:firstLine="440"/>
              <w:jc w:val="both"/>
            </w:pPr>
            <w:r>
              <w:rPr>
                <w:rFonts w:ascii="仿宋_GB2312" w:hAnsi="仿宋_GB2312" w:cs="仿宋_GB2312" w:eastAsia="仿宋_GB2312"/>
                <w:sz w:val="22"/>
              </w:rPr>
              <w:t>（一）人员配置</w:t>
            </w:r>
          </w:p>
          <w:p>
            <w:pPr>
              <w:pStyle w:val="null3"/>
              <w:ind w:firstLine="440"/>
              <w:jc w:val="both"/>
            </w:pPr>
            <w:r>
              <w:rPr>
                <w:rFonts w:ascii="仿宋_GB2312" w:hAnsi="仿宋_GB2312" w:cs="仿宋_GB2312" w:eastAsia="仿宋_GB2312"/>
                <w:sz w:val="22"/>
              </w:rPr>
              <w:t>项目人员需满足项目服务工作开展需求。</w:t>
            </w:r>
          </w:p>
          <w:p>
            <w:pPr>
              <w:pStyle w:val="null3"/>
              <w:ind w:firstLine="440"/>
              <w:jc w:val="both"/>
            </w:pPr>
            <w:r>
              <w:rPr>
                <w:rFonts w:ascii="仿宋_GB2312" w:hAnsi="仿宋_GB2312" w:cs="仿宋_GB2312" w:eastAsia="仿宋_GB2312"/>
                <w:sz w:val="22"/>
              </w:rPr>
              <w:t>（二）专业设备</w:t>
            </w:r>
          </w:p>
          <w:p>
            <w:pPr>
              <w:pStyle w:val="null3"/>
              <w:ind w:firstLine="440"/>
              <w:jc w:val="both"/>
            </w:pPr>
            <w:r>
              <w:rPr>
                <w:rFonts w:ascii="仿宋_GB2312" w:hAnsi="仿宋_GB2312" w:cs="仿宋_GB2312" w:eastAsia="仿宋_GB2312"/>
                <w:sz w:val="22"/>
              </w:rPr>
              <w:t>满足项目服务需求。</w:t>
            </w:r>
          </w:p>
          <w:p>
            <w:pPr>
              <w:pStyle w:val="null3"/>
              <w:ind w:firstLine="440"/>
              <w:jc w:val="both"/>
            </w:pPr>
            <w:r>
              <w:rPr>
                <w:rFonts w:ascii="仿宋_GB2312" w:hAnsi="仿宋_GB2312" w:cs="仿宋_GB2312" w:eastAsia="仿宋_GB2312"/>
                <w:sz w:val="22"/>
              </w:rPr>
              <w:t>（三）服务标准</w:t>
            </w:r>
          </w:p>
          <w:p>
            <w:pPr>
              <w:pStyle w:val="null3"/>
              <w:ind w:firstLine="440"/>
              <w:jc w:val="both"/>
            </w:pPr>
            <w:r>
              <w:rPr>
                <w:rFonts w:ascii="仿宋_GB2312" w:hAnsi="仿宋_GB2312" w:cs="仿宋_GB2312" w:eastAsia="仿宋_GB2312"/>
                <w:sz w:val="22"/>
              </w:rPr>
              <w:t>本项目服务标准遵循国家、行业现行有效的法律法规、强制性标准及规范性文件。</w:t>
            </w:r>
          </w:p>
          <w:p>
            <w:pPr>
              <w:pStyle w:val="null3"/>
              <w:ind w:firstLine="440"/>
              <w:jc w:val="both"/>
            </w:pPr>
            <w:r>
              <w:rPr>
                <w:rFonts w:ascii="仿宋_GB2312" w:hAnsi="仿宋_GB2312" w:cs="仿宋_GB2312" w:eastAsia="仿宋_GB2312"/>
                <w:sz w:val="22"/>
              </w:rPr>
              <w:t>五、商务要求</w:t>
            </w:r>
          </w:p>
          <w:p>
            <w:pPr>
              <w:pStyle w:val="null3"/>
              <w:ind w:firstLine="440"/>
              <w:jc w:val="both"/>
            </w:pPr>
            <w:r>
              <w:rPr>
                <w:rFonts w:ascii="仿宋_GB2312" w:hAnsi="仿宋_GB2312" w:cs="仿宋_GB2312" w:eastAsia="仿宋_GB2312"/>
                <w:sz w:val="22"/>
              </w:rPr>
              <w:t>（一）服务期限</w:t>
            </w:r>
          </w:p>
          <w:p>
            <w:pPr>
              <w:pStyle w:val="null3"/>
              <w:ind w:firstLine="440"/>
              <w:jc w:val="both"/>
            </w:pPr>
            <w:r>
              <w:rPr>
                <w:rFonts w:ascii="仿宋_GB2312" w:hAnsi="仿宋_GB2312" w:cs="仿宋_GB2312" w:eastAsia="仿宋_GB2312"/>
                <w:sz w:val="22"/>
              </w:rPr>
              <w:t>自合同签订之日起至项目咨询服务内容全部完成止。</w:t>
            </w:r>
          </w:p>
          <w:p>
            <w:pPr>
              <w:pStyle w:val="null3"/>
              <w:ind w:firstLine="440"/>
              <w:jc w:val="both"/>
            </w:pPr>
            <w:r>
              <w:rPr>
                <w:rFonts w:ascii="仿宋_GB2312" w:hAnsi="仿宋_GB2312" w:cs="仿宋_GB2312" w:eastAsia="仿宋_GB2312"/>
                <w:sz w:val="22"/>
              </w:rPr>
              <w:t>（二）款项结算</w:t>
            </w:r>
          </w:p>
          <w:p>
            <w:pPr>
              <w:pStyle w:val="null3"/>
              <w:ind w:firstLine="440"/>
              <w:jc w:val="both"/>
            </w:pPr>
            <w:r>
              <w:rPr>
                <w:rFonts w:ascii="仿宋_GB2312" w:hAnsi="仿宋_GB2312" w:cs="仿宋_GB2312" w:eastAsia="仿宋_GB2312"/>
                <w:sz w:val="22"/>
              </w:rPr>
              <w:t>合同签订后五个工作日内，支付咨询服务费总额的</w:t>
            </w:r>
            <w:r>
              <w:rPr>
                <w:rFonts w:ascii="仿宋_GB2312" w:hAnsi="仿宋_GB2312" w:cs="仿宋_GB2312" w:eastAsia="仿宋_GB2312"/>
                <w:sz w:val="22"/>
              </w:rPr>
              <w:t>20%；配合采购人完成补充协议签订后五个工作日内，支付咨询服务费总额的80%。</w:t>
            </w:r>
          </w:p>
          <w:p>
            <w:pPr>
              <w:pStyle w:val="null3"/>
              <w:ind w:firstLine="440"/>
              <w:jc w:val="both"/>
            </w:pPr>
            <w:r>
              <w:rPr>
                <w:rFonts w:ascii="仿宋_GB2312" w:hAnsi="仿宋_GB2312" w:cs="仿宋_GB2312" w:eastAsia="仿宋_GB2312"/>
                <w:sz w:val="22"/>
              </w:rPr>
              <w:t>六、其他</w:t>
            </w:r>
          </w:p>
          <w:p>
            <w:pPr>
              <w:pStyle w:val="null3"/>
              <w:ind w:firstLine="440"/>
              <w:jc w:val="both"/>
            </w:pPr>
            <w:r>
              <w:rPr>
                <w:rFonts w:ascii="仿宋_GB2312" w:hAnsi="仿宋_GB2312" w:cs="仿宋_GB2312" w:eastAsia="仿宋_GB2312"/>
                <w:sz w:val="22"/>
              </w:rPr>
              <w:t>（一）成果文件</w:t>
            </w:r>
          </w:p>
          <w:p>
            <w:pPr>
              <w:pStyle w:val="null3"/>
              <w:ind w:firstLine="440"/>
              <w:jc w:val="both"/>
            </w:pPr>
            <w:r>
              <w:rPr>
                <w:rFonts w:ascii="仿宋_GB2312" w:hAnsi="仿宋_GB2312" w:cs="仿宋_GB2312" w:eastAsia="仿宋_GB2312"/>
                <w:sz w:val="22"/>
              </w:rPr>
              <w:t>根据服务商咨询服务内容，服务商提交成果文件包括：存量处置方案、项目补充协议。</w:t>
            </w:r>
          </w:p>
          <w:p>
            <w:pPr>
              <w:pStyle w:val="null3"/>
              <w:ind w:firstLine="440"/>
              <w:jc w:val="both"/>
            </w:pPr>
            <w:r>
              <w:rPr>
                <w:rFonts w:ascii="仿宋_GB2312" w:hAnsi="仿宋_GB2312" w:cs="仿宋_GB2312" w:eastAsia="仿宋_GB2312"/>
                <w:sz w:val="22"/>
              </w:rPr>
              <w:t>（二）质量验收标准或规范</w:t>
            </w:r>
          </w:p>
          <w:p>
            <w:pPr>
              <w:pStyle w:val="null3"/>
              <w:ind w:firstLine="440"/>
              <w:jc w:val="both"/>
            </w:pPr>
            <w:r>
              <w:rPr>
                <w:rFonts w:ascii="仿宋_GB2312" w:hAnsi="仿宋_GB2312" w:cs="仿宋_GB2312" w:eastAsia="仿宋_GB2312"/>
                <w:sz w:val="22"/>
              </w:rPr>
              <w:t>现行的国家标准或国家行政部门颁布的法律法规、规章制度等。</w:t>
            </w:r>
          </w:p>
          <w:p>
            <w:pPr>
              <w:pStyle w:val="null3"/>
              <w:ind w:firstLine="440"/>
              <w:jc w:val="both"/>
            </w:pPr>
            <w:r>
              <w:rPr>
                <w:rFonts w:ascii="仿宋_GB2312" w:hAnsi="仿宋_GB2312" w:cs="仿宋_GB2312" w:eastAsia="仿宋_GB2312"/>
                <w:sz w:val="22"/>
              </w:rPr>
              <w:t>（三）违约责任</w:t>
            </w:r>
          </w:p>
          <w:p>
            <w:pPr>
              <w:pStyle w:val="null3"/>
              <w:ind w:firstLine="480"/>
              <w:jc w:val="both"/>
            </w:pPr>
            <w:r>
              <w:rPr>
                <w:rFonts w:ascii="仿宋_GB2312" w:hAnsi="仿宋_GB2312" w:cs="仿宋_GB2312" w:eastAsia="仿宋_GB2312"/>
                <w:sz w:val="22"/>
              </w:rPr>
              <w:t>按照合同约定执行。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项目人员需满足项目服务工作开展需求。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服务标准：本项目服务标准遵循国家、行业现行有效的法律法规、强制性标准及规范性文件。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自合同签订之日起至项目咨询服务内容全部完成止。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合同签订后五个工作日内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配合采购人完成补充协议签订后五个工作日内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因执行本合同所发生的或与本合同有关的一切争议，双方应通过友好协商解决，如双方通过协商不能达成一致时，向有管辖权的法院提起诉讼。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审计报告（成立时间至提交磋商响应文件截止时间不足一年的可提供成立后任意时段的资产负债表），或其基本存款账户开户银行出具的资信证明及基本存款账户开户许可证（基本账户信息表）；（注：各供应商经审计的财务审计报告需赋加二维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法定代表人身份证明和法定代表人授权委托书</w:t>
            </w:r>
          </w:p>
        </w:tc>
        <w:tc>
          <w:tcPr>
            <w:tcW w:type="dxa" w:w="3322"/>
          </w:tcPr>
          <w:p>
            <w:pPr>
              <w:pStyle w:val="null3"/>
            </w:pPr>
            <w:r>
              <w:rPr>
                <w:rFonts w:ascii="仿宋_GB2312" w:hAnsi="仿宋_GB2312" w:cs="仿宋_GB2312" w:eastAsia="仿宋_GB2312"/>
              </w:rPr>
              <w:t>法定代表人直接负责投标的，须在磋商文件中提供法定代表人身份证明；法定代表人授权代表负责投标的，须在磋商文件中提供法定代表人身份证明和法定代表人授权委托书。非法人单位参照执行；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其他.docx 响应文件封面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对“服务地点、付款方式”等实质性内容进行响 应且未附加采购人难以接受的条件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根据投标供应商提供的针对本项目的实施方案(方案中包括但不限于:①对本项目的理解；②对PPP模式的理解；③项目实施方案；④项目管理制度；⑤组织协调内容及措施)等内容，每提供一项得1分， 以此为基础，以上方案内容不完整，编制不合理，针对性差，不加分。 以上方案内容基本完整,编制基本合理、针对性一般每项加2分； 以上方案内容完整详实，编制合理、针对性强的每项加3分,加至标准分为止；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1.重点和难点分析全面，合理，并且提出切实可行的解决办法的，得10分； 2.重点和难点分析全面，合理，对于重难点的解决办法较为合理可行的，得8分； 3.重点和难点分析全面，合理，对于重难点的解决办法可行性一般的，得6分； 4.重点和难点分析基本全面，基本合理，对于重难点的解决办法基本可行的，得4分； 5.重点和难点分析不全面，不合理，对于重难点的解决办法不可行的，得2分；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工作进度计划和进度保障措施</w:t>
            </w:r>
          </w:p>
        </w:tc>
        <w:tc>
          <w:tcPr>
            <w:tcW w:type="dxa" w:w="2492"/>
          </w:tcPr>
          <w:p>
            <w:pPr>
              <w:pStyle w:val="null3"/>
            </w:pPr>
            <w:r>
              <w:rPr>
                <w:rFonts w:ascii="仿宋_GB2312" w:hAnsi="仿宋_GB2312" w:cs="仿宋_GB2312" w:eastAsia="仿宋_GB2312"/>
              </w:rPr>
              <w:t>根据投标供应商针对本项目提供的工作进度计划和进度保障措施等内容进行评审：（方案中包括但不限于：①项目进度保障管理及措施；②服务响应及时程度、现场管理；③工作进度计划）等内容； 1.以上方案内容完整详实，编制合理、针对性强的，得10分； 2.以上方案内容完整详实，编制较为合理、针对性较强的，得8分； 3.以上方案内容较为完整详实，编制基本合理、针对性一般的，得6分； 4.以上方案内容不够完整详实，合理性一般、针对性一般的，得4分； 5.以上方案内容不完整详实，编制不合理、针对性差的，得2分；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根据投标供应商提供的针对本项目的质量保证措施进行评审：（方案中包括但不限于：①质量管理方案及制度、②质量保证措施及承诺、③质量校核流程等）等内容，每提供一项得1分， 以此为基础，以上方案内容不完整，编制不合理，针对性差，不加分。 以上方案内容基本完整，编制基本合理、针对性一般每项加2分； 以上方案内容较为完整，编制较为合理、针对性较强每项加3分； 以上方案内容完整详实，编制合理、针对性强的每项加4分，加至标准分为止；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承诺全面且从多个角度明确地做出承诺，合理可行且完全能满足采购人对项目需求的，得6分； 承诺基本全面且承诺内容基本可行的，得4分； 承诺基本全面但实施有难度的，得2分； 承诺不全面且实施难度大的，得1分；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根据投标供应商的保密方案（包括但不限于：①保密承诺；②保密岗位责任）等内容，每提供一项得1分，以此为基础， 以上方案内容不完整，编制不合理，针对性差，不加分。 以上方案内容基本完整，编制基本合理、针对性一般每项加1分； 以上方案内容完整详实，编制合理、针对性强的每项加 2 分，加至标准分为止；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建议全面且从多个角度考虑，合理可行且对项目实施具有较强的指导作用的得6分； 建议基本全面且建议内容基本可行的，得4分； 建议基本全面但实施有难度的，得2分； 建议不全面且实施难度大的，得1分；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供应商提供2022年1月1日至投标文件递交截止时间内的类似业绩，每提供一项单个合同项目得3分，累计最多得12分。 注 ：以投标文件中所附的加盖公章的业绩合同复印件为准，时间以合同签订时间为准；未提供业绩证明资料、业绩证明资料未显示时间、业绩证明资料显示时间不符合要求者不得分。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