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版本号：FT2025-CGZB-110301.1B220251204001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富平县张桥镇念田村基础设施建设项目(三次)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FT2025-CGZB-110301.1B2</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陕西奋泰项目管理有限公司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陕西奋泰项目管理有限公司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富平县张桥镇念田村基础设施建设项目(三次)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FT2025-CGZB-110301.1B2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富平县张桥镇念田村基础设施建设项目(三次)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破除重修混凝土道路，新修混凝土道路，排水管网等工程。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采购包1（富平县张桥镇念田村基础设施建设项目）：属于专门面向中小企业采购。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2、授权委托书：法定代表人授权委托书（附法定代表人、被授权人身份证复印件）；法定代表人参加投标只须提供法定代表人身份证明（附法定代表人身份证复印件）；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3、企业资质：具备市政公用工程施工总承包三级及以上资质或建筑工程施工总承包三级及以上资质；</w:t>
      </w:r>
    </w:p>
    <w:p>
      <w:pPr>
        <w:pStyle w:val="null3"/>
      </w:pPr>
      <w:r>
        <w:rPr>
          <w:rFonts w:ascii="仿宋_GB2312" w:hAnsi="仿宋_GB2312" w:cs="仿宋_GB2312" w:eastAsia="仿宋_GB2312"/>
        </w:rPr>
        <w:t>4、安全生产许可证：具有建设行政主管部门核发有效的安全生产许可证；</w:t>
      </w:r>
    </w:p>
    <w:p>
      <w:pPr>
        <w:pStyle w:val="null3"/>
      </w:pPr>
      <w:r>
        <w:rPr>
          <w:rFonts w:ascii="仿宋_GB2312" w:hAnsi="仿宋_GB2312" w:cs="仿宋_GB2312" w:eastAsia="仿宋_GB2312"/>
        </w:rPr>
        <w:t>5、项目经理：拟派项目经理具备市政公用工程注册建造师二级及以上或建筑工程专业二级注册建造师及以上资格和有效的安全生产考核合格证书，提供项目经理无在建工程的相关证明材料或承诺书；</w:t>
      </w:r>
    </w:p>
    <w:p>
      <w:pPr>
        <w:pStyle w:val="null3"/>
      </w:pPr>
      <w:r>
        <w:rPr>
          <w:rFonts w:ascii="仿宋_GB2312" w:hAnsi="仿宋_GB2312" w:cs="仿宋_GB2312" w:eastAsia="仿宋_GB2312"/>
        </w:rPr>
        <w:t>6、财务状况报告：2023年度或2024年度经审计的财务报告或在2025年6月1日至今其基本开户银行出具的资信证明或财政部门认可的政府采购专业担保机构出具的投标担保函（以上三种形式的资料提供任何一种即可）；并进行电子签章。 注：1.提供资信证明的供应商，需同时提供基本开户银行的证明材料；2.事业单位可不提供本项证明材料。</w:t>
      </w:r>
    </w:p>
    <w:p>
      <w:pPr>
        <w:pStyle w:val="null3"/>
      </w:pPr>
      <w:r>
        <w:rPr>
          <w:rFonts w:ascii="仿宋_GB2312" w:hAnsi="仿宋_GB2312" w:cs="仿宋_GB2312" w:eastAsia="仿宋_GB2312"/>
        </w:rPr>
        <w:t>7、缴纳税收：提供依法缴纳税收的良好记录（提供递交磋商响应文件截止时间前六个月内任意一个月份的缴纳凭据复印件并加盖单位公章。依法免税或开标前一年内零申报的供应商应提供相关证明文件）；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缴纳证明：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信誉情况：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11、投标保证金：a.提供磋商保证金转账凭证和基本存款账户信息证明资料复印件或扫描件；b.提供金融机构、担保机构出具的保函复印件或扫描件；以上两种方式二选一，复印件或扫描件均须加盖公章；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13、说明及承诺：提供具有履行本合同所必需的设备和专业技术能力的说明及承诺；</w:t>
      </w:r>
    </w:p>
    <w:p>
      <w:pPr>
        <w:pStyle w:val="null3"/>
      </w:pPr>
      <w:r>
        <w:rPr>
          <w:rFonts w:ascii="仿宋_GB2312" w:hAnsi="仿宋_GB2312" w:cs="仿宋_GB2312" w:eastAsia="仿宋_GB2312"/>
        </w:rPr>
        <w:t>14、中小企业声明函：本项目专门面向中小企业采购，供应商提供《中小企业声明函》。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0913-8930001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陕西奋泰项目管理有限公司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陕西省西安市未央区太华北路安徽大厦17楼1706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18829205929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开户名称：陕西奋泰项目管理有限公司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按国家规定标准收取，按照《国家发展改革委办公厅关于招标代理服务收费有关问题的通知》（发改办价格〔2003〕857号）规定向成交供应商收取。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陕西奋泰项目管理有限公司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陕西奋泰项目管理有限公司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陕西奋泰项目管理有限公司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w:t>
      </w:r>
    </w:p>
    <w:p>
      <w:pPr>
        <w:pStyle w:val="null3"/>
      </w:pPr>
      <w:r>
        <w:rPr>
          <w:rFonts w:ascii="仿宋_GB2312" w:hAnsi="仿宋_GB2312" w:cs="仿宋_GB2312" w:eastAsia="仿宋_GB2312"/>
        </w:rPr>
        <w:t>联系电话：18829205929</w:t>
      </w:r>
    </w:p>
    <w:p>
      <w:pPr>
        <w:pStyle w:val="null3"/>
      </w:pPr>
      <w:r>
        <w:rPr>
          <w:rFonts w:ascii="仿宋_GB2312" w:hAnsi="仿宋_GB2312" w:cs="仿宋_GB2312" w:eastAsia="仿宋_GB2312"/>
        </w:rPr>
        <w:t>地址： 陕西省西安市未央区太华北路安徽大厦17楼1706</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993,550.86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富平县张桥镇念田村基础设施建设项目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标的名称：富平县张桥镇念田村基础设施建设项目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富平县张桥镇念田村基础设施建设项目</w:t>
            </w:r>
            <w:r>
              <w:rPr>
                <w:rFonts w:ascii="仿宋_GB2312" w:hAnsi="仿宋_GB2312" w:cs="仿宋_GB2312" w:eastAsia="仿宋_GB2312"/>
                <w:sz w:val="24"/>
                <w:color w:val="000000"/>
              </w:rPr>
              <w:t>，主要建</w:t>
            </w:r>
            <w:r>
              <w:rPr>
                <w:rFonts w:ascii="仿宋_GB2312" w:hAnsi="仿宋_GB2312" w:cs="仿宋_GB2312" w:eastAsia="仿宋_GB2312"/>
                <w:sz w:val="24"/>
                <w:color w:val="000000"/>
              </w:rPr>
              <w:t>设内容为破除重修混凝土道路，新修混凝土道路，排水管网等工程。</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2.《建设工程工程量清单计价标准》（DB 61/T5126-2025）；</w:t>
            </w:r>
          </w:p>
          <w:p>
            <w:pPr>
              <w:pStyle w:val="null3"/>
              <w:spacing w:before="150" w:after="150"/>
              <w:ind w:firstLine="480"/>
              <w:jc w:val="both"/>
            </w:pPr>
            <w:r>
              <w:rPr>
                <w:rFonts w:ascii="仿宋_GB2312" w:hAnsi="仿宋_GB2312" w:cs="仿宋_GB2312" w:eastAsia="仿宋_GB2312"/>
                <w:sz w:val="24"/>
                <w:color w:val="000000"/>
              </w:rPr>
              <w:t>3.《陕西省建设工程费用规则》(2025)；</w:t>
            </w:r>
          </w:p>
          <w:p>
            <w:pPr>
              <w:pStyle w:val="null3"/>
              <w:spacing w:before="150" w:after="150"/>
              <w:ind w:firstLine="480"/>
              <w:jc w:val="both"/>
            </w:pPr>
            <w:r>
              <w:rPr>
                <w:rFonts w:ascii="仿宋_GB2312" w:hAnsi="仿宋_GB2312" w:cs="仿宋_GB2312" w:eastAsia="仿宋_GB2312"/>
                <w:sz w:val="24"/>
                <w:color w:val="000000"/>
              </w:rPr>
              <w:t>4.《陕西省房屋建筑与装饰工程消耗量定额》(2025)、《陕西省市政工程消耗量定额》(2025)、《陕西省园林绿化工程消耗量定额》(2025)及《陕西省建设工程施工机械台班费用定额》(2025)、《陕西省建设工程施工仪器仪表台班费用定额》(2025)及《陕西省市政工程基价表》(2025)以及相关政策性文件。</w:t>
            </w:r>
          </w:p>
          <w:p>
            <w:pPr>
              <w:pStyle w:val="null3"/>
              <w:spacing w:before="150" w:after="150"/>
              <w:ind w:firstLine="480"/>
              <w:jc w:val="both"/>
            </w:pPr>
            <w:r>
              <w:rPr>
                <w:rFonts w:ascii="仿宋_GB2312" w:hAnsi="仿宋_GB2312" w:cs="仿宋_GB2312" w:eastAsia="仿宋_GB2312"/>
                <w:sz w:val="24"/>
                <w:color w:val="000000"/>
              </w:rPr>
              <w:t>5、人工单价执行专业工程综合工种基期人工工日单价，房屋建筑与装饰工程综合一类155元/工日，房屋建筑与装饰工程综合二类190元/工日，通用安装工程综合二类186元/工日，市政工程综合二类185元/工日，综合三类215元/工日。</w:t>
            </w:r>
          </w:p>
          <w:p>
            <w:pPr>
              <w:pStyle w:val="null3"/>
              <w:spacing w:before="150" w:after="150"/>
              <w:ind w:firstLine="480"/>
              <w:jc w:val="both"/>
            </w:pPr>
            <w:r>
              <w:rPr>
                <w:rFonts w:ascii="仿宋_GB2312" w:hAnsi="仿宋_GB2312" w:cs="仿宋_GB2312" w:eastAsia="仿宋_GB2312"/>
                <w:sz w:val="24"/>
                <w:color w:val="000000"/>
              </w:rPr>
              <w:t>6、材料价：执行渭南建设工程造价信息2025年第四期并结合市场价格计入。</w:t>
            </w:r>
          </w:p>
          <w:p>
            <w:pPr>
              <w:pStyle w:val="null3"/>
              <w:spacing w:before="150" w:after="150"/>
              <w:ind w:firstLine="480"/>
              <w:jc w:val="both"/>
            </w:pPr>
            <w:r>
              <w:rPr>
                <w:rFonts w:ascii="仿宋_GB2312" w:hAnsi="仿宋_GB2312" w:cs="仿宋_GB2312" w:eastAsia="仿宋_GB2312"/>
                <w:sz w:val="24"/>
                <w:color w:val="000000"/>
              </w:rPr>
              <w:t>7、增值税税率按一般计税9%计算。</w:t>
            </w:r>
          </w:p>
          <w:p>
            <w:pPr>
              <w:pStyle w:val="null3"/>
              <w:spacing w:before="150" w:after="150"/>
              <w:ind w:firstLine="480"/>
              <w:jc w:val="both"/>
            </w:pPr>
            <w:r>
              <w:rPr>
                <w:rFonts w:ascii="仿宋_GB2312" w:hAnsi="仿宋_GB2312" w:cs="仿宋_GB2312" w:eastAsia="仿宋_GB2312"/>
                <w:sz w:val="24"/>
                <w:color w:val="000000"/>
              </w:rPr>
              <w:t>8、广联达计价软件版本号：广联达云计价GCCP7.5000.23.1</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1、未详尽事宜详见清单。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2、工程地点：富平县张桥镇念田村；3、付款方式：签订合同5个工作日内支付30%预付款，达到付款条件起5日内，支付合同总金额的30.00%；按工程进度支付进度款，达到付款条件起7日内，支付合同总金额的40.00%；竣工验收合格后支付至97%，达到付款条件起6日内，支付合同总金额的27.00%；预留3%质量保证金，待质保期结束一次付清，达到付款条件起7日内，支付合同总金额的3.00%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投标时供应商无需提供纸质版响应文件。成交供应商在领取成交通知书前将纸质版响应文件正本1份、副本2份、电子版（U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2023年度或2024年度经审计的财务报告或在2025年6月1日至今其基本开户银行出具的资信证明或财政部门认可的政府采购专业担保机构出具的投标担保函（以上三种形式的资料提供任何一种即可）；并进行电子签章。 注：1.提供资信证明的供应商，需同时提供基本开户银行的证明材料；2.事业单位可不提供本项证明材料。</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供应商特定资格要求.docx 响应函 强制优先采购产品承诺函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具备市政公用工程施工总承包三级及以上资质或建筑工程施工总承包三级及以上资质；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拟派项目经理具备市政公用工程注册建造师二级及以上或建筑工程专业二级注册建造师及以上资格和有效的安全生产考核合格证书，提供项目经理无在建工程的相关证明材料或承诺书；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项目管理机构组成表 标的清单 供应商特定资格要求.docx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2023年度或2024年度经审计的财务报告或在2025年6月1日至今其基本开户银行出具的资信证明或财政部门认可的政府采购专业担保机构出具的投标担保函（以上三种形式的资料提供任何一种即可）；并进行电子签章。 注：1.提供资信证明的供应商，需同时提供基本开户银行的证明材料；2.事业单位可不提供本项证明材料。</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（1）磋商报价符合唯一性要求；（2）第一次磋商报价表填写符合要求；（3）计量单位、报价货币均符合磋商文件要求；（4）未超过磋商文件规定的最高限价。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技术方案.docx 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提供的针对本项目实际情况编制的项目实施方案（包含但不限于①施工方案、②工序方法、③现场可能发生的施工问题及相应的处理措施），由磋商小组进行评分：每项内容阐述主次分明，表述清晰的得 3 分，若仅提供内容，但未详细阐述的得 1.5 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根据供应商针对本项目提供的质量控制方案（包含但不限于①质量目标、②质量保证措施），由磋商小组进行评分：每项内容阐述主次分明，表述清晰的得3分，若仅提供内容，但未详细阐述的得1.5 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针对本项目提供的确保安全生产的技术组织措施（包含但不限于①安全生产管理制度、②安全生产资源配置、③应急措施），由磋商小组进行评分：每项内容阐述主次分明，表述清晰的得3分，若仅提供内容，但未详细阐述的得1.5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环保文明施工措施计划</w:t>
            </w:r>
          </w:p>
        </w:tc>
        <w:tc>
          <w:tcPr>
            <w:tcW w:type="dxa" w:w="2492"/>
          </w:tcPr>
          <w:p>
            <w:pPr>
              <w:pStyle w:val="null3"/>
            </w:pPr>
            <w:r>
              <w:rPr>
                <w:rFonts w:ascii="仿宋_GB2312" w:hAnsi="仿宋_GB2312" w:cs="仿宋_GB2312" w:eastAsia="仿宋_GB2312"/>
              </w:rPr>
              <w:t>根据供应商提供的针对本项目提供的环保文明施工措施计划（包含但不限于①现场环境卫生保证及卫生管理措施、②文明施工措施及投入相应设施设备（如警示牌、洒水设备、清洁工具等），由磋商小组进行评分：每项内容阐述主次分明，表述清晰的得3分，若仅提供内容，但未详细阐述的得1.5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拟投入材料计划</w:t>
            </w:r>
          </w:p>
        </w:tc>
        <w:tc>
          <w:tcPr>
            <w:tcW w:type="dxa" w:w="2492"/>
          </w:tcPr>
          <w:p>
            <w:pPr>
              <w:pStyle w:val="null3"/>
            </w:pPr>
            <w:r>
              <w:rPr>
                <w:rFonts w:ascii="仿宋_GB2312" w:hAnsi="仿宋_GB2312" w:cs="仿宋_GB2312" w:eastAsia="仿宋_GB2312"/>
              </w:rPr>
              <w:t>根据供应商针对本项目提供的材料管理措施方案（包含但不限于①施工材料进场安排的合理性、②施工材料投入计划、③确保施工材料质量的保障方案），由磋商小组进行评分：每项内容阐述主次分明，表述清晰的得3分，若仅提供内容，但未详细阐述的得1.5 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针对本项目提供的施工进度计划（包含但不限于①总进度计划和施工进度表（横道图或网络图）、②单位工程或分项工程施工进度计划、③进度保障措施），由磋商小组进行评分：每项内容阐述主次分明，表述清晰的得3分，若仅提供内容，但未详细阐述的得1.5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施工机械配备及劳动力安排计划</w:t>
            </w:r>
          </w:p>
        </w:tc>
        <w:tc>
          <w:tcPr>
            <w:tcW w:type="dxa" w:w="2492"/>
          </w:tcPr>
          <w:p>
            <w:pPr>
              <w:pStyle w:val="null3"/>
            </w:pPr>
            <w:r>
              <w:rPr>
                <w:rFonts w:ascii="仿宋_GB2312" w:hAnsi="仿宋_GB2312" w:cs="仿宋_GB2312" w:eastAsia="仿宋_GB2312"/>
              </w:rPr>
              <w:t>根据供应商针对本项目提供的施工机械配备及劳动力安排计划（包含但不限于①施工机械配备、②劳动力安排计划），由磋商小组进行评分：每项内容阐述主次分明，表述清晰的得4分，若仅提供内容，但未详细阐述的得2分。本项最高得8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根据供应商针对本项目提供的项目组织管理机构配备（包括但不限于项目技术人等各专业人员及相关技工人员），由磋商小组进行评分：内容阐述主次分明，人员配置齐全合理，表述清晰的得5分，若仅提供内容，但未详细阐述的得2.5分。本项最高得5分；未提供或提供的内容存在明显不足或与本项目情况不符的不得分。 注：需提供拟投入人员的执业证书/技术岗位证书、职称证（若有）、学历证书、身份证等证书证件。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2022年01月至今完成的类似业绩，一项得3分，最多得9分。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详见附件：供应商特定资格要求.docx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