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5A798">
      <w:pPr>
        <w:pageBreakBefore w:val="0"/>
        <w:kinsoku/>
        <w:overflowPunct/>
        <w:topLinePunct w:val="0"/>
        <w:bidi w:val="0"/>
        <w:spacing w:beforeAutospacing="0" w:afterAutospacing="0" w:line="440" w:lineRule="exact"/>
        <w:ind w:left="0" w:leftChars="0" w:right="0"/>
        <w:jc w:val="center"/>
        <w:rPr>
          <w:rFonts w:hint="eastAsia" w:ascii="宋体" w:hAnsi="宋体"/>
          <w:b/>
          <w:color w:val="auto"/>
          <w:sz w:val="32"/>
          <w:szCs w:val="32"/>
          <w:highlight w:val="none"/>
        </w:rPr>
      </w:pPr>
      <w:r>
        <w:rPr>
          <w:rFonts w:hint="eastAsia" w:ascii="宋体" w:hAnsi="宋体"/>
          <w:b/>
          <w:color w:val="auto"/>
          <w:sz w:val="32"/>
          <w:szCs w:val="32"/>
          <w:highlight w:val="none"/>
        </w:rPr>
        <w:t>拟签订的合同文本</w:t>
      </w:r>
    </w:p>
    <w:p w14:paraId="7EC09C9F">
      <w:pPr>
        <w:pageBreakBefore w:val="0"/>
        <w:tabs>
          <w:tab w:val="left" w:pos="735"/>
        </w:tabs>
        <w:kinsoku/>
        <w:overflowPunct/>
        <w:topLinePunct w:val="0"/>
        <w:autoSpaceDE w:val="0"/>
        <w:autoSpaceDN w:val="0"/>
        <w:bidi w:val="0"/>
        <w:adjustRightInd w:val="0"/>
        <w:snapToGrid w:val="0"/>
        <w:spacing w:beforeAutospacing="0" w:afterAutospacing="0" w:line="440" w:lineRule="exact"/>
        <w:ind w:left="0" w:leftChars="0" w:right="0" w:firstLine="631"/>
        <w:jc w:val="center"/>
        <w:rPr>
          <w:rFonts w:hint="eastAsia" w:ascii="宋体" w:hAnsi="宋体" w:cs="宋体"/>
          <w:b/>
          <w:color w:val="auto"/>
          <w:highlight w:val="none"/>
        </w:rPr>
      </w:pPr>
    </w:p>
    <w:p w14:paraId="564EC994">
      <w:pPr>
        <w:pageBreakBefore w:val="0"/>
        <w:tabs>
          <w:tab w:val="left" w:pos="735"/>
        </w:tabs>
        <w:kinsoku/>
        <w:overflowPunct/>
        <w:topLinePunct w:val="0"/>
        <w:autoSpaceDE w:val="0"/>
        <w:autoSpaceDN w:val="0"/>
        <w:bidi w:val="0"/>
        <w:adjustRightInd w:val="0"/>
        <w:snapToGrid w:val="0"/>
        <w:spacing w:beforeAutospacing="0" w:afterAutospacing="0" w:line="440" w:lineRule="exact"/>
        <w:ind w:left="0" w:leftChars="0" w:right="0" w:firstLine="631"/>
        <w:jc w:val="center"/>
        <w:rPr>
          <w:rFonts w:hint="eastAsia" w:ascii="宋体" w:hAnsi="宋体" w:cs="宋体"/>
          <w:b/>
          <w:bCs/>
          <w:color w:val="auto"/>
          <w:sz w:val="24"/>
          <w:szCs w:val="24"/>
          <w:highlight w:val="none"/>
          <w:lang w:val="zh-CN"/>
        </w:rPr>
      </w:pPr>
      <w:r>
        <w:rPr>
          <w:rFonts w:hint="eastAsia" w:ascii="宋体" w:hAnsi="宋体" w:cs="宋体"/>
          <w:b/>
          <w:color w:val="auto"/>
          <w:highlight w:val="none"/>
        </w:rPr>
        <w:t>（此合同仅供参考，以最终采购人与中标人签定的合同条款为准进行公示，最终签定合同的主要条款不能与招标文件有冲突。）</w:t>
      </w:r>
    </w:p>
    <w:p w14:paraId="7F056A64">
      <w:pPr>
        <w:pageBreakBefore w:val="0"/>
        <w:kinsoku/>
        <w:overflowPunct/>
        <w:topLinePunct w:val="0"/>
        <w:bidi w:val="0"/>
        <w:spacing w:beforeAutospacing="0" w:afterAutospacing="0" w:line="440" w:lineRule="exact"/>
        <w:ind w:left="0" w:leftChars="0" w:right="0" w:firstLine="480" w:firstLineChars="200"/>
        <w:rPr>
          <w:rFonts w:hint="eastAsia" w:ascii="宋体" w:hAnsi="宋体" w:cs="宋体"/>
          <w:color w:val="auto"/>
          <w:sz w:val="24"/>
          <w:szCs w:val="24"/>
          <w:highlight w:val="none"/>
        </w:rPr>
      </w:pPr>
    </w:p>
    <w:p w14:paraId="079E76A3">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lang w:eastAsia="zh-CN"/>
        </w:rPr>
        <w:t>富平县环境卫生管理中心可回收物及有害垃圾清运车</w:t>
      </w:r>
      <w:bookmarkStart w:id="0" w:name="_GoBack"/>
      <w:bookmarkEnd w:id="0"/>
      <w:r>
        <w:rPr>
          <w:rFonts w:hint="eastAsia" w:ascii="宋体" w:hAnsi="宋体" w:cs="宋体"/>
          <w:color w:val="auto"/>
          <w:szCs w:val="21"/>
          <w:highlight w:val="none"/>
          <w:lang w:eastAsia="zh-CN"/>
        </w:rPr>
        <w:t>辆采购项目</w:t>
      </w:r>
      <w:r>
        <w:rPr>
          <w:rFonts w:hint="eastAsia" w:ascii="宋体" w:hAnsi="宋体" w:cs="宋体"/>
          <w:color w:val="auto"/>
          <w:szCs w:val="21"/>
          <w:highlight w:val="none"/>
        </w:rPr>
        <w:t>（</w:t>
      </w:r>
      <w:r>
        <w:rPr>
          <w:rFonts w:hint="eastAsia" w:ascii="宋体" w:hAnsi="宋体" w:cs="宋体"/>
          <w:color w:val="auto"/>
          <w:szCs w:val="21"/>
          <w:highlight w:val="none"/>
          <w:lang w:eastAsia="zh-CN"/>
        </w:rPr>
        <w:t>项目编号</w:t>
      </w:r>
      <w:r>
        <w:rPr>
          <w:rFonts w:hint="eastAsia" w:ascii="宋体" w:hAnsi="宋体" w:cs="宋体"/>
          <w:color w:val="auto"/>
          <w:szCs w:val="21"/>
          <w:highlight w:val="none"/>
        </w:rPr>
        <w:t>：慧科ZX-CF01352BH），在富平县财政局的监督管理下，由</w:t>
      </w:r>
      <w:r>
        <w:rPr>
          <w:rFonts w:hint="eastAsia" w:ascii="宋体" w:hAnsi="宋体" w:cs="宋体"/>
          <w:color w:val="auto"/>
          <w:szCs w:val="21"/>
          <w:highlight w:val="none"/>
          <w:lang w:eastAsia="zh-CN"/>
        </w:rPr>
        <w:t>陕西慧科工程管理咨询有限公司</w:t>
      </w:r>
      <w:r>
        <w:rPr>
          <w:rFonts w:hint="eastAsia" w:ascii="宋体" w:hAnsi="宋体" w:cs="宋体"/>
          <w:color w:val="auto"/>
          <w:szCs w:val="21"/>
          <w:highlight w:val="none"/>
        </w:rPr>
        <w:t>组织公开招标。</w:t>
      </w:r>
      <w:r>
        <w:rPr>
          <w:rFonts w:hint="eastAsia" w:ascii="宋体" w:hAnsi="宋体" w:cs="宋体"/>
          <w:color w:val="auto"/>
          <w:szCs w:val="21"/>
          <w:highlight w:val="none"/>
          <w:u w:val="single"/>
        </w:rPr>
        <w:t>富平县环境卫生管理中心</w:t>
      </w:r>
      <w:r>
        <w:rPr>
          <w:rFonts w:hint="eastAsia" w:ascii="宋体" w:hAnsi="宋体" w:cs="宋体"/>
          <w:color w:val="auto"/>
          <w:szCs w:val="21"/>
          <w:highlight w:val="none"/>
        </w:rPr>
        <w:t>（以下简称“甲方”）确定</w:t>
      </w:r>
      <w:r>
        <w:rPr>
          <w:rFonts w:hint="eastAsia" w:ascii="宋体" w:hAnsi="宋体" w:cs="宋体"/>
          <w:color w:val="auto"/>
          <w:szCs w:val="21"/>
          <w:highlight w:val="none"/>
          <w:u w:val="single"/>
        </w:rPr>
        <w:t xml:space="preserve"> （中标单位名称） </w:t>
      </w:r>
      <w:r>
        <w:rPr>
          <w:rFonts w:hint="eastAsia" w:ascii="宋体" w:hAnsi="宋体" w:cs="宋体"/>
          <w:color w:val="auto"/>
          <w:szCs w:val="21"/>
          <w:highlight w:val="none"/>
        </w:rPr>
        <w:t>（以下简称“乙方”）为中标单位。依据《中华人民共和国政府采购法》、《中华人民共和国政府采购法实施条例》、《中华人民共和国民法典》以及公开招标文件、中标通知书，达成如下条款。</w:t>
      </w:r>
    </w:p>
    <w:p w14:paraId="1A7A55CA">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一、合同双方</w:t>
      </w:r>
    </w:p>
    <w:p w14:paraId="412B0B61">
      <w:pPr>
        <w:pStyle w:val="4"/>
        <w:pageBreakBefore w:val="0"/>
        <w:kinsoku/>
        <w:overflowPunct/>
        <w:topLinePunct w:val="0"/>
        <w:bidi w:val="0"/>
        <w:spacing w:beforeAutospacing="0" w:afterAutospacing="0" w:line="440" w:lineRule="exact"/>
        <w:ind w:left="0" w:leftChars="0" w:right="0" w:firstLine="422"/>
        <w:rPr>
          <w:rFonts w:ascii="宋体" w:hAnsi="宋体" w:cs="宋体"/>
          <w:color w:val="auto"/>
          <w:szCs w:val="21"/>
          <w:highlight w:val="none"/>
        </w:rPr>
      </w:pPr>
      <w:r>
        <w:rPr>
          <w:rFonts w:hint="eastAsia" w:ascii="宋体" w:hAnsi="宋体" w:cs="宋体"/>
          <w:b/>
          <w:bCs/>
          <w:color w:val="auto"/>
          <w:szCs w:val="21"/>
          <w:highlight w:val="none"/>
        </w:rPr>
        <w:t>甲  方：</w:t>
      </w:r>
      <w:r>
        <w:rPr>
          <w:rFonts w:hint="eastAsia" w:ascii="宋体" w:hAnsi="宋体" w:cs="宋体"/>
          <w:b/>
          <w:bCs/>
          <w:color w:val="auto"/>
          <w:szCs w:val="21"/>
          <w:highlight w:val="none"/>
          <w:u w:val="single"/>
        </w:rPr>
        <w:t xml:space="preserve">富平县环境卫生管理中心  </w:t>
      </w:r>
    </w:p>
    <w:p w14:paraId="66A74901">
      <w:pPr>
        <w:pStyle w:val="4"/>
        <w:pageBreakBefore w:val="0"/>
        <w:kinsoku/>
        <w:overflowPunct/>
        <w:topLinePunct w:val="0"/>
        <w:bidi w:val="0"/>
        <w:spacing w:beforeAutospacing="0" w:afterAutospacing="0" w:line="440" w:lineRule="exact"/>
        <w:ind w:left="0" w:leftChars="0" w:right="0" w:firstLine="422"/>
        <w:rPr>
          <w:rFonts w:hint="eastAsia" w:ascii="宋体" w:hAnsi="宋体" w:cs="宋体"/>
          <w:color w:val="auto"/>
          <w:szCs w:val="21"/>
          <w:highlight w:val="none"/>
          <w:u w:val="single"/>
        </w:rPr>
      </w:pPr>
      <w:r>
        <w:rPr>
          <w:rFonts w:hint="eastAsia" w:ascii="宋体" w:hAnsi="宋体" w:cs="宋体"/>
          <w:b/>
          <w:bCs/>
          <w:color w:val="auto"/>
          <w:szCs w:val="21"/>
          <w:highlight w:val="none"/>
        </w:rPr>
        <w:t>乙  方：</w:t>
      </w:r>
      <w:r>
        <w:rPr>
          <w:rFonts w:hint="eastAsia" w:ascii="宋体" w:hAnsi="宋体" w:cs="宋体"/>
          <w:color w:val="auto"/>
          <w:szCs w:val="21"/>
          <w:highlight w:val="none"/>
          <w:u w:val="single"/>
        </w:rPr>
        <w:t xml:space="preserve">          （中标供应商）</w:t>
      </w:r>
    </w:p>
    <w:p w14:paraId="0D650BD2">
      <w:pPr>
        <w:pStyle w:val="4"/>
        <w:pageBreakBefore w:val="0"/>
        <w:kinsoku/>
        <w:overflowPunct/>
        <w:topLinePunct w:val="0"/>
        <w:bidi w:val="0"/>
        <w:spacing w:beforeAutospacing="0" w:afterAutospacing="0" w:line="440" w:lineRule="exact"/>
        <w:ind w:left="0" w:leftChars="0" w:right="0" w:firstLine="0" w:firstLineChars="0"/>
        <w:rPr>
          <w:rFonts w:hint="eastAsia" w:ascii="宋体" w:hAnsi="宋体" w:cs="宋体"/>
          <w:b/>
          <w:bCs/>
          <w:color w:val="auto"/>
          <w:szCs w:val="21"/>
          <w:highlight w:val="none"/>
        </w:rPr>
      </w:pPr>
      <w:r>
        <w:rPr>
          <w:rFonts w:hint="eastAsia" w:ascii="宋体" w:hAnsi="宋体" w:cs="宋体"/>
          <w:b/>
          <w:bCs/>
          <w:color w:val="auto"/>
          <w:szCs w:val="21"/>
          <w:highlight w:val="none"/>
        </w:rPr>
        <w:t>二、合同标的的内容、规格、数量</w:t>
      </w:r>
    </w:p>
    <w:tbl>
      <w:tblPr>
        <w:tblStyle w:val="2"/>
        <w:tblW w:w="8304"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677"/>
        <w:gridCol w:w="2332"/>
        <w:gridCol w:w="1125"/>
        <w:gridCol w:w="950"/>
        <w:gridCol w:w="800"/>
        <w:gridCol w:w="1313"/>
        <w:gridCol w:w="1107"/>
      </w:tblGrid>
      <w:tr w14:paraId="37A0B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780" w:hRule="atLeast"/>
        </w:trPr>
        <w:tc>
          <w:tcPr>
            <w:tcW w:w="677" w:type="dxa"/>
            <w:noWrap w:val="0"/>
            <w:tcMar>
              <w:left w:w="108" w:type="dxa"/>
              <w:right w:w="108" w:type="dxa"/>
            </w:tcMar>
            <w:vAlign w:val="center"/>
          </w:tcPr>
          <w:p w14:paraId="4D3CC607">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lang w:bidi="ar"/>
              </w:rPr>
              <w:t>序号</w:t>
            </w:r>
          </w:p>
        </w:tc>
        <w:tc>
          <w:tcPr>
            <w:tcW w:w="2332" w:type="dxa"/>
            <w:noWrap w:val="0"/>
            <w:tcMar>
              <w:left w:w="108" w:type="dxa"/>
              <w:right w:w="108" w:type="dxa"/>
            </w:tcMar>
            <w:vAlign w:val="center"/>
          </w:tcPr>
          <w:p w14:paraId="770E2AC6">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kern w:val="0"/>
                <w:szCs w:val="21"/>
                <w:highlight w:val="none"/>
              </w:rPr>
            </w:pPr>
            <w:r>
              <w:rPr>
                <w:rFonts w:hint="eastAsia" w:ascii="宋体" w:hAnsi="宋体" w:cs="宋体"/>
                <w:b/>
                <w:color w:val="auto"/>
                <w:kern w:val="0"/>
                <w:szCs w:val="21"/>
                <w:highlight w:val="none"/>
                <w:lang w:bidi="ar"/>
              </w:rPr>
              <w:t>名称</w:t>
            </w:r>
          </w:p>
        </w:tc>
        <w:tc>
          <w:tcPr>
            <w:tcW w:w="1125" w:type="dxa"/>
            <w:noWrap w:val="0"/>
            <w:tcMar>
              <w:left w:w="108" w:type="dxa"/>
              <w:right w:w="108" w:type="dxa"/>
            </w:tcMar>
            <w:vAlign w:val="center"/>
          </w:tcPr>
          <w:p w14:paraId="5442E2E2">
            <w:pPr>
              <w:pageBreakBefore w:val="0"/>
              <w:kinsoku/>
              <w:overflowPunct/>
              <w:topLinePunct w:val="0"/>
              <w:bidi w:val="0"/>
              <w:spacing w:beforeAutospacing="0" w:afterAutospacing="0" w:line="440" w:lineRule="exact"/>
              <w:ind w:left="0" w:leftChars="0" w:right="0"/>
              <w:jc w:val="center"/>
              <w:rPr>
                <w:rFonts w:ascii="宋体" w:hAnsi="宋体" w:cs="宋体"/>
                <w:b/>
                <w:color w:val="auto"/>
                <w:kern w:val="0"/>
                <w:szCs w:val="21"/>
                <w:highlight w:val="none"/>
              </w:rPr>
            </w:pPr>
            <w:r>
              <w:rPr>
                <w:rFonts w:hint="eastAsia" w:ascii="宋体" w:hAnsi="宋体" w:cs="宋体"/>
                <w:b/>
                <w:color w:val="auto"/>
                <w:kern w:val="0"/>
                <w:szCs w:val="21"/>
                <w:highlight w:val="none"/>
              </w:rPr>
              <w:t>型号规格</w:t>
            </w:r>
          </w:p>
        </w:tc>
        <w:tc>
          <w:tcPr>
            <w:tcW w:w="950" w:type="dxa"/>
            <w:noWrap w:val="0"/>
            <w:vAlign w:val="center"/>
          </w:tcPr>
          <w:p w14:paraId="2F5F7844">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制造商</w:t>
            </w:r>
          </w:p>
        </w:tc>
        <w:tc>
          <w:tcPr>
            <w:tcW w:w="800" w:type="dxa"/>
            <w:noWrap w:val="0"/>
            <w:vAlign w:val="center"/>
          </w:tcPr>
          <w:p w14:paraId="37912A48">
            <w:pPr>
              <w:pageBreakBefore w:val="0"/>
              <w:kinsoku/>
              <w:overflowPunct/>
              <w:topLinePunct w:val="0"/>
              <w:bidi w:val="0"/>
              <w:spacing w:beforeAutospacing="0" w:afterAutospacing="0" w:line="440" w:lineRule="exact"/>
              <w:ind w:left="0" w:leftChars="0" w:right="0"/>
              <w:jc w:val="center"/>
              <w:rPr>
                <w:rFonts w:hint="eastAsia" w:ascii="宋体" w:hAnsi="宋体" w:cs="宋体"/>
                <w:b/>
                <w:color w:val="auto"/>
                <w:szCs w:val="21"/>
                <w:highlight w:val="none"/>
              </w:rPr>
            </w:pPr>
            <w:r>
              <w:rPr>
                <w:rFonts w:hint="eastAsia" w:ascii="宋体" w:hAnsi="宋体" w:cs="宋体"/>
                <w:b/>
                <w:color w:val="auto"/>
                <w:kern w:val="0"/>
                <w:szCs w:val="21"/>
                <w:highlight w:val="none"/>
                <w:lang w:bidi="ar"/>
              </w:rPr>
              <w:t>数量</w:t>
            </w:r>
          </w:p>
        </w:tc>
        <w:tc>
          <w:tcPr>
            <w:tcW w:w="1313" w:type="dxa"/>
            <w:noWrap w:val="0"/>
            <w:vAlign w:val="center"/>
          </w:tcPr>
          <w:p w14:paraId="10CFE232">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单价</w:t>
            </w:r>
          </w:p>
          <w:p w14:paraId="27EE6019">
            <w:pPr>
              <w:pageBreakBefore w:val="0"/>
              <w:kinsoku/>
              <w:overflowPunct/>
              <w:topLinePunct w:val="0"/>
              <w:bidi w:val="0"/>
              <w:spacing w:beforeAutospacing="0" w:afterAutospacing="0" w:line="440" w:lineRule="exact"/>
              <w:ind w:left="0" w:leftChars="0" w:right="0"/>
              <w:jc w:val="center"/>
              <w:textAlignment w:val="center"/>
              <w:rPr>
                <w:rFonts w:ascii="宋体" w:hAnsi="宋体" w:cs="宋体"/>
                <w:b/>
                <w:color w:val="auto"/>
                <w:szCs w:val="21"/>
                <w:highlight w:val="none"/>
              </w:rPr>
            </w:pPr>
            <w:r>
              <w:rPr>
                <w:rFonts w:hint="eastAsia" w:ascii="宋体" w:hAnsi="宋体" w:cs="宋体"/>
                <w:b/>
                <w:color w:val="auto"/>
                <w:szCs w:val="21"/>
                <w:highlight w:val="none"/>
              </w:rPr>
              <w:t>（元/台）</w:t>
            </w:r>
          </w:p>
        </w:tc>
        <w:tc>
          <w:tcPr>
            <w:tcW w:w="1107" w:type="dxa"/>
            <w:noWrap w:val="0"/>
            <w:vAlign w:val="center"/>
          </w:tcPr>
          <w:p w14:paraId="728C10E9">
            <w:pPr>
              <w:pageBreakBefore w:val="0"/>
              <w:kinsoku/>
              <w:overflowPunct/>
              <w:topLinePunct w:val="0"/>
              <w:bidi w:val="0"/>
              <w:spacing w:beforeAutospacing="0" w:afterAutospacing="0" w:line="440" w:lineRule="exact"/>
              <w:ind w:left="0" w:leftChars="0" w:right="0"/>
              <w:jc w:val="center"/>
              <w:textAlignment w:val="center"/>
              <w:rPr>
                <w:rFonts w:hint="eastAsia" w:ascii="宋体" w:hAnsi="宋体" w:cs="宋体"/>
                <w:b/>
                <w:color w:val="auto"/>
                <w:szCs w:val="21"/>
                <w:highlight w:val="none"/>
              </w:rPr>
            </w:pPr>
            <w:r>
              <w:rPr>
                <w:rFonts w:hint="eastAsia" w:ascii="宋体" w:hAnsi="宋体" w:cs="宋体"/>
                <w:b/>
                <w:color w:val="auto"/>
                <w:szCs w:val="21"/>
                <w:highlight w:val="none"/>
              </w:rPr>
              <w:t>小计</w:t>
            </w:r>
          </w:p>
          <w:p w14:paraId="0A980C7F">
            <w:pPr>
              <w:pageBreakBefore w:val="0"/>
              <w:kinsoku/>
              <w:overflowPunct/>
              <w:topLinePunct w:val="0"/>
              <w:bidi w:val="0"/>
              <w:spacing w:beforeAutospacing="0" w:afterAutospacing="0" w:line="440" w:lineRule="exact"/>
              <w:ind w:left="0" w:leftChars="0" w:right="0"/>
              <w:jc w:val="center"/>
              <w:textAlignment w:val="center"/>
              <w:rPr>
                <w:rFonts w:ascii="宋体" w:hAnsi="宋体" w:cs="宋体"/>
                <w:b/>
                <w:color w:val="auto"/>
                <w:szCs w:val="21"/>
                <w:highlight w:val="none"/>
              </w:rPr>
            </w:pPr>
            <w:r>
              <w:rPr>
                <w:rFonts w:hint="eastAsia" w:ascii="宋体" w:hAnsi="宋体" w:cs="宋体"/>
                <w:b/>
                <w:color w:val="auto"/>
                <w:szCs w:val="21"/>
                <w:highlight w:val="none"/>
              </w:rPr>
              <w:t>（元）</w:t>
            </w:r>
          </w:p>
        </w:tc>
      </w:tr>
      <w:tr w14:paraId="65CB6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77" w:type="dxa"/>
            <w:noWrap w:val="0"/>
            <w:tcMar>
              <w:left w:w="108" w:type="dxa"/>
              <w:right w:w="108" w:type="dxa"/>
            </w:tcMar>
            <w:vAlign w:val="center"/>
          </w:tcPr>
          <w:p w14:paraId="501E4C61">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r>
              <w:rPr>
                <w:rFonts w:hint="eastAsia" w:ascii="宋体" w:hAnsi="宋体" w:cs="宋体"/>
                <w:color w:val="auto"/>
                <w:szCs w:val="21"/>
                <w:highlight w:val="none"/>
              </w:rPr>
              <w:t>1</w:t>
            </w:r>
          </w:p>
        </w:tc>
        <w:tc>
          <w:tcPr>
            <w:tcW w:w="2332" w:type="dxa"/>
            <w:noWrap w:val="0"/>
            <w:tcMar>
              <w:left w:w="108" w:type="dxa"/>
              <w:right w:w="108" w:type="dxa"/>
            </w:tcMar>
            <w:vAlign w:val="center"/>
          </w:tcPr>
          <w:p w14:paraId="570B9655">
            <w:pPr>
              <w:pageBreakBefore w:val="0"/>
              <w:kinsoku/>
              <w:overflowPunct/>
              <w:topLinePunct w:val="0"/>
              <w:bidi w:val="0"/>
              <w:snapToGrid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1125" w:type="dxa"/>
            <w:noWrap w:val="0"/>
            <w:tcMar>
              <w:left w:w="108" w:type="dxa"/>
              <w:right w:w="108" w:type="dxa"/>
            </w:tcMar>
            <w:vAlign w:val="center"/>
          </w:tcPr>
          <w:p w14:paraId="354A5450">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rPr>
            </w:pPr>
          </w:p>
        </w:tc>
        <w:tc>
          <w:tcPr>
            <w:tcW w:w="950" w:type="dxa"/>
            <w:noWrap w:val="0"/>
            <w:vAlign w:val="center"/>
          </w:tcPr>
          <w:p w14:paraId="63B54990">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800" w:type="dxa"/>
            <w:noWrap w:val="0"/>
            <w:vAlign w:val="center"/>
          </w:tcPr>
          <w:p w14:paraId="7DA1F4E3">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313" w:type="dxa"/>
            <w:noWrap w:val="0"/>
            <w:vAlign w:val="center"/>
          </w:tcPr>
          <w:p w14:paraId="750A7766">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c>
          <w:tcPr>
            <w:tcW w:w="1107" w:type="dxa"/>
            <w:noWrap w:val="0"/>
            <w:vAlign w:val="center"/>
          </w:tcPr>
          <w:p w14:paraId="5CC15AD1">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szCs w:val="21"/>
                <w:highlight w:val="none"/>
              </w:rPr>
            </w:pPr>
          </w:p>
        </w:tc>
      </w:tr>
      <w:tr w14:paraId="4D32A2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0" w:type="dxa"/>
            <w:bottom w:w="0" w:type="dxa"/>
            <w:right w:w="0" w:type="dxa"/>
          </w:tblCellMar>
        </w:tblPrEx>
        <w:trPr>
          <w:trHeight w:val="550" w:hRule="atLeast"/>
        </w:trPr>
        <w:tc>
          <w:tcPr>
            <w:tcW w:w="8304" w:type="dxa"/>
            <w:gridSpan w:val="7"/>
            <w:noWrap w:val="0"/>
            <w:tcMar>
              <w:left w:w="108" w:type="dxa"/>
              <w:right w:w="108" w:type="dxa"/>
            </w:tcMar>
            <w:vAlign w:val="center"/>
          </w:tcPr>
          <w:p w14:paraId="282A87E5">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b/>
                <w:bCs/>
                <w:color w:val="auto"/>
                <w:szCs w:val="21"/>
                <w:highlight w:val="none"/>
              </w:rPr>
              <w:t>合计（人民币元）：</w:t>
            </w:r>
          </w:p>
        </w:tc>
      </w:tr>
    </w:tbl>
    <w:p w14:paraId="60FA89C3">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三、合同价格</w:t>
      </w:r>
    </w:p>
    <w:p w14:paraId="2BCD3FF1">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3.1合同金额为：（大写）</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lang w:val="zh-CN"/>
        </w:rPr>
        <w:t xml:space="preserve">（小写：¥ </w:t>
      </w:r>
      <w:r>
        <w:rPr>
          <w:rFonts w:hint="eastAsia" w:ascii="宋体" w:hAnsi="宋体" w:cs="宋体"/>
          <w:color w:val="auto"/>
          <w:szCs w:val="21"/>
          <w:highlight w:val="none"/>
          <w:u w:val="single"/>
          <w:lang w:val="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lang w:val="zh-CN"/>
        </w:rPr>
        <w:t>元，为含税价）</w:t>
      </w:r>
    </w:p>
    <w:p w14:paraId="05D70CEB">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3.2合同总价包括：</w:t>
      </w:r>
      <w:r>
        <w:rPr>
          <w:rFonts w:hint="eastAsia" w:ascii="宋体" w:hAnsi="宋体" w:cs="宋体"/>
          <w:color w:val="auto"/>
          <w:szCs w:val="21"/>
          <w:highlight w:val="none"/>
          <w:lang w:bidi="ar"/>
        </w:rPr>
        <w:t>所投的全部产品达到正常使用条件下的投标总价（包含但不限于本次采购车辆及装置的设计、制造、运输、装卸、检验、</w:t>
      </w:r>
      <w:r>
        <w:rPr>
          <w:rFonts w:hint="eastAsia" w:ascii="宋体" w:hAnsi="宋体" w:cs="宋体"/>
          <w:color w:val="auto"/>
          <w:szCs w:val="21"/>
          <w:highlight w:val="none"/>
          <w:lang w:val="en-US" w:eastAsia="zh-CN" w:bidi="ar"/>
        </w:rPr>
        <w:t>交强险、车辆购置附加费、</w:t>
      </w:r>
      <w:r>
        <w:rPr>
          <w:rFonts w:hint="eastAsia" w:ascii="宋体" w:hAnsi="宋体" w:cs="宋体"/>
          <w:color w:val="auto"/>
          <w:szCs w:val="21"/>
          <w:highlight w:val="none"/>
          <w:lang w:bidi="ar"/>
        </w:rPr>
        <w:t>上牌、首保、备品备件等一切费用）</w:t>
      </w:r>
      <w:r>
        <w:rPr>
          <w:rFonts w:hint="eastAsia" w:ascii="宋体" w:hAnsi="宋体" w:cs="宋体"/>
          <w:color w:val="auto"/>
          <w:szCs w:val="21"/>
          <w:highlight w:val="none"/>
        </w:rPr>
        <w:t>。</w:t>
      </w:r>
    </w:p>
    <w:p w14:paraId="553DBE8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3.3合同总价一次性包死，不受市场价格变化因素的影响。</w:t>
      </w:r>
    </w:p>
    <w:p w14:paraId="534F7291">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四、付款及结算方式</w:t>
      </w:r>
    </w:p>
    <w:p w14:paraId="208D4B8E">
      <w:pPr>
        <w:pageBreakBefore w:val="0"/>
        <w:kinsoku/>
        <w:overflowPunct/>
        <w:topLinePunct w:val="0"/>
        <w:bidi w:val="0"/>
        <w:spacing w:beforeAutospacing="0" w:afterAutospacing="0" w:line="440" w:lineRule="exact"/>
        <w:ind w:left="0" w:leftChars="0" w:right="0" w:firstLine="422" w:firstLineChars="200"/>
        <w:rPr>
          <w:rFonts w:hint="eastAsia" w:ascii="宋体" w:hAnsi="宋体" w:cs="宋体"/>
          <w:b/>
          <w:bCs/>
          <w:color w:val="auto"/>
          <w:szCs w:val="21"/>
          <w:highlight w:val="none"/>
        </w:rPr>
      </w:pPr>
      <w:r>
        <w:rPr>
          <w:rFonts w:hint="eastAsia" w:ascii="宋体" w:hAnsi="宋体" w:cs="宋体"/>
          <w:b/>
          <w:bCs/>
          <w:color w:val="auto"/>
          <w:szCs w:val="21"/>
          <w:highlight w:val="none"/>
        </w:rPr>
        <w:t>4.1付款方式：合同签订后支付合同总价款的40%,所有车辆交付完成并经采购人验收合格后付至合同总价款的100%。</w:t>
      </w:r>
    </w:p>
    <w:p w14:paraId="3A0A837C">
      <w:pPr>
        <w:pageBreakBefore w:val="0"/>
        <w:kinsoku/>
        <w:overflowPunct/>
        <w:topLinePunct w:val="0"/>
        <w:bidi w:val="0"/>
        <w:spacing w:beforeAutospacing="0" w:afterAutospacing="0" w:line="440" w:lineRule="exact"/>
        <w:ind w:left="0" w:leftChars="0" w:right="0" w:firstLine="422" w:firstLineChars="200"/>
        <w:rPr>
          <w:rFonts w:hint="eastAsia" w:ascii="宋体" w:hAnsi="宋体" w:eastAsia="宋体" w:cs="宋体"/>
          <w:b/>
          <w:bCs/>
          <w:color w:val="auto"/>
          <w:szCs w:val="21"/>
          <w:highlight w:val="none"/>
          <w:lang w:bidi="ar"/>
        </w:rPr>
      </w:pPr>
      <w:r>
        <w:rPr>
          <w:rFonts w:hint="eastAsia" w:ascii="宋体" w:hAnsi="宋体" w:eastAsia="宋体" w:cs="宋体"/>
          <w:b/>
          <w:bCs/>
          <w:color w:val="auto"/>
          <w:szCs w:val="21"/>
          <w:highlight w:val="none"/>
          <w:lang w:bidi="ar"/>
        </w:rPr>
        <w:t>4.2支付方式：银行转账。</w:t>
      </w:r>
    </w:p>
    <w:p w14:paraId="13DC22BD">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五</w:t>
      </w:r>
      <w:r>
        <w:rPr>
          <w:rFonts w:hint="eastAsia" w:ascii="宋体" w:hAnsi="宋体" w:cs="宋体"/>
          <w:b/>
          <w:bCs/>
          <w:color w:val="auto"/>
          <w:szCs w:val="21"/>
          <w:highlight w:val="none"/>
        </w:rPr>
        <w:t>、供应商开户信息</w:t>
      </w:r>
    </w:p>
    <w:p w14:paraId="08F0648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p>
    <w:p w14:paraId="71E7D6B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开户行名称：</w:t>
      </w:r>
      <w:r>
        <w:rPr>
          <w:rFonts w:hint="eastAsia" w:ascii="宋体" w:hAnsi="宋体" w:cs="宋体"/>
          <w:color w:val="auto"/>
          <w:szCs w:val="21"/>
          <w:highlight w:val="none"/>
          <w:u w:val="single"/>
        </w:rPr>
        <w:t xml:space="preserve">                              </w:t>
      </w:r>
    </w:p>
    <w:p w14:paraId="1FAAF7F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账   号：</w:t>
      </w:r>
      <w:r>
        <w:rPr>
          <w:rFonts w:hint="eastAsia" w:ascii="宋体" w:hAnsi="宋体" w:cs="宋体"/>
          <w:color w:val="auto"/>
          <w:szCs w:val="21"/>
          <w:highlight w:val="none"/>
          <w:u w:val="single"/>
        </w:rPr>
        <w:t xml:space="preserve">                                 </w:t>
      </w:r>
    </w:p>
    <w:p w14:paraId="28815B15">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六</w:t>
      </w:r>
      <w:r>
        <w:rPr>
          <w:rFonts w:hint="eastAsia" w:ascii="宋体" w:hAnsi="宋体" w:cs="宋体"/>
          <w:b/>
          <w:bCs/>
          <w:color w:val="auto"/>
          <w:szCs w:val="21"/>
          <w:highlight w:val="none"/>
        </w:rPr>
        <w:t>、合同履行期限、地点和方式</w:t>
      </w:r>
    </w:p>
    <w:p w14:paraId="6A012A80">
      <w:pPr>
        <w:pageBreakBefore w:val="0"/>
        <w:kinsoku/>
        <w:overflowPunct/>
        <w:topLinePunct w:val="0"/>
        <w:bidi w:val="0"/>
        <w:spacing w:beforeAutospacing="0" w:afterAutospacing="0" w:line="440" w:lineRule="exact"/>
        <w:ind w:left="0" w:leftChars="0" w:right="0" w:firstLine="420" w:firstLineChars="200"/>
        <w:rPr>
          <w:rFonts w:hint="eastAsia" w:ascii="宋体" w:hAnsi="宋体" w:eastAsia="宋体" w:cs="宋体"/>
          <w:b/>
          <w:bCs/>
          <w:color w:val="auto"/>
          <w:kern w:val="0"/>
          <w:szCs w:val="21"/>
          <w:highlight w:val="none"/>
          <w:u w:val="none"/>
          <w:lang w:val="zh-CN"/>
        </w:rPr>
      </w:pPr>
      <w:r>
        <w:rPr>
          <w:rFonts w:hint="eastAsia" w:ascii="宋体" w:hAnsi="宋体" w:cs="宋体"/>
          <w:color w:val="auto"/>
          <w:szCs w:val="21"/>
          <w:highlight w:val="none"/>
        </w:rPr>
        <w:t>7.1交货期：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673DEE6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u w:val="single"/>
        </w:rPr>
      </w:pPr>
      <w:r>
        <w:rPr>
          <w:rFonts w:hint="eastAsia" w:ascii="宋体" w:hAnsi="宋体" w:cs="宋体"/>
          <w:color w:val="auto"/>
          <w:szCs w:val="21"/>
          <w:highlight w:val="none"/>
        </w:rPr>
        <w:t>7.2交货地点：</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p>
    <w:p w14:paraId="771BF41B">
      <w:pPr>
        <w:pageBreakBefore w:val="0"/>
        <w:kinsoku/>
        <w:overflowPunct/>
        <w:topLinePunct w:val="0"/>
        <w:bidi w:val="0"/>
        <w:spacing w:beforeAutospacing="0" w:afterAutospacing="0" w:line="440" w:lineRule="exact"/>
        <w:ind w:left="0" w:leftChars="0" w:right="0" w:firstLine="420" w:firstLineChars="200"/>
        <w:rPr>
          <w:rFonts w:hint="eastAsia" w:ascii="宋体" w:hAnsi="宋体" w:eastAsia="宋体" w:cs="宋体"/>
          <w:b/>
          <w:bCs/>
          <w:color w:val="0000FF"/>
          <w:kern w:val="0"/>
          <w:szCs w:val="21"/>
          <w:highlight w:val="none"/>
          <w:u w:val="none"/>
          <w:lang w:val="zh-CN"/>
        </w:rPr>
      </w:pPr>
      <w:r>
        <w:rPr>
          <w:rFonts w:hint="eastAsia" w:ascii="宋体" w:hAnsi="宋体" w:cs="宋体"/>
          <w:color w:val="auto"/>
          <w:szCs w:val="21"/>
          <w:highlight w:val="none"/>
          <w:u w:val="none"/>
          <w:lang w:val="en-US" w:eastAsia="zh-CN"/>
        </w:rPr>
        <w:t>7.3</w:t>
      </w:r>
      <w:r>
        <w:rPr>
          <w:rFonts w:hint="eastAsia" w:ascii="宋体" w:hAnsi="宋体" w:cs="宋体"/>
          <w:b/>
          <w:bCs/>
          <w:color w:val="auto"/>
          <w:kern w:val="0"/>
          <w:szCs w:val="21"/>
          <w:highlight w:val="none"/>
          <w:u w:val="none"/>
          <w:lang w:val="zh-CN"/>
        </w:rPr>
        <w:t>质保期：</w:t>
      </w:r>
      <w:r>
        <w:rPr>
          <w:rFonts w:hint="eastAsia" w:ascii="宋体" w:hAnsi="宋体" w:eastAsia="宋体" w:cs="宋体"/>
          <w:b/>
          <w:bCs/>
          <w:color w:val="auto"/>
          <w:kern w:val="0"/>
          <w:szCs w:val="21"/>
          <w:highlight w:val="none"/>
          <w:u w:val="none"/>
          <w:lang w:val="zh-CN"/>
        </w:rPr>
        <w:t>交付验收合格后整车质保不低于</w:t>
      </w:r>
      <w:r>
        <w:rPr>
          <w:rFonts w:hint="eastAsia" w:ascii="宋体" w:hAnsi="宋体" w:eastAsia="宋体" w:cs="宋体"/>
          <w:b/>
          <w:bCs/>
          <w:color w:val="auto"/>
          <w:kern w:val="0"/>
          <w:szCs w:val="21"/>
          <w:highlight w:val="none"/>
          <w:u w:val="none"/>
          <w:lang w:val="en-US" w:eastAsia="zh-CN"/>
        </w:rPr>
        <w:t>1</w:t>
      </w:r>
      <w:r>
        <w:rPr>
          <w:rFonts w:hint="eastAsia" w:ascii="宋体" w:hAnsi="宋体" w:eastAsia="宋体" w:cs="宋体"/>
          <w:b/>
          <w:bCs/>
          <w:color w:val="auto"/>
          <w:kern w:val="0"/>
          <w:szCs w:val="21"/>
          <w:highlight w:val="none"/>
          <w:u w:val="none"/>
          <w:lang w:val="zh-CN"/>
        </w:rPr>
        <w:t>年。</w:t>
      </w:r>
    </w:p>
    <w:p w14:paraId="46EB42DA">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7.</w:t>
      </w: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乙方应自行选择适宜的运输工具及线路安排合同货物运输。</w:t>
      </w:r>
    </w:p>
    <w:p w14:paraId="57D6B315">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七</w:t>
      </w:r>
      <w:r>
        <w:rPr>
          <w:rFonts w:hint="eastAsia" w:ascii="宋体" w:hAnsi="宋体" w:cs="宋体"/>
          <w:b/>
          <w:bCs/>
          <w:color w:val="auto"/>
          <w:szCs w:val="21"/>
          <w:highlight w:val="none"/>
        </w:rPr>
        <w:t>、合同当事人的权利和义务</w:t>
      </w:r>
    </w:p>
    <w:p w14:paraId="62D34B4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8.1甲方的权利和义务</w:t>
      </w:r>
    </w:p>
    <w:p w14:paraId="1A26350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（1）甲方有权享有乙方按照上述约定提供的货物和服务。</w:t>
      </w:r>
    </w:p>
    <w:p w14:paraId="3BB80AE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（2）乙方未能按时交付合同货物时，甲方有权要求乙方赔偿违约金。</w:t>
      </w:r>
    </w:p>
    <w:p w14:paraId="67795A3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（3）质保期内货物出现故障，接到甲方通知，乙方未能及时作出响应，则甲方有权自行或委托他人解决相关问题或查找和解决合同货物的故障，乙方应承担由此发生的全部费用。</w:t>
      </w:r>
    </w:p>
    <w:p w14:paraId="50BF73F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（4）乙方货物交付时，甲方应提供必要的便利条件协助乙方完成交付，并及时组织相关人员对货物进行验收。</w:t>
      </w:r>
    </w:p>
    <w:p w14:paraId="7590E8F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（5）乙方按照合同完成履约后，甲方应按照合同约定及时支付合同价款。</w:t>
      </w:r>
    </w:p>
    <w:p w14:paraId="1DA1684C">
      <w:pPr>
        <w:pageBreakBefore w:val="0"/>
        <w:kinsoku/>
        <w:overflowPunct/>
        <w:topLinePunct w:val="0"/>
        <w:autoSpaceDN w:val="0"/>
        <w:bidi w:val="0"/>
        <w:adjustRightInd w:val="0"/>
        <w:spacing w:beforeAutospacing="0" w:afterAutospacing="0" w:line="440" w:lineRule="exact"/>
        <w:ind w:left="0" w:leftChars="0" w:right="0" w:firstLine="420" w:firstLineChars="200"/>
        <w:rPr>
          <w:rFonts w:hint="eastAsia" w:ascii="宋体" w:hAnsi="宋体" w:cs="宋体"/>
          <w:color w:val="auto"/>
          <w:szCs w:val="21"/>
          <w:highlight w:val="none"/>
          <w:lang w:val="zh-CN"/>
        </w:rPr>
      </w:pPr>
      <w:r>
        <w:rPr>
          <w:rFonts w:hint="eastAsia" w:ascii="宋体" w:hAnsi="宋体" w:cs="宋体"/>
          <w:color w:val="auto"/>
          <w:szCs w:val="21"/>
          <w:highlight w:val="none"/>
          <w:lang w:val="zh-CN"/>
        </w:rPr>
        <w:t>（6）乙方应保证所提供产品不会出现因第三方提出侵犯其专利权、商标权或其他知识产权而引发的法律或经济纠纷；如出现，乙方应承担因此而产生的法律责任及赔偿责任。如因知识产权纠纷而影响到甲方正常工作开展，甲方有权单方面解除本合同，并拒绝向乙方支付剩余未支付费用，且有权要求乙方退还已支付款项并承担相应的赔偿责任。</w:t>
      </w:r>
    </w:p>
    <w:p w14:paraId="32C12D3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8.2乙方的权利和义务</w:t>
      </w:r>
    </w:p>
    <w:p w14:paraId="114D2AB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（1）乙方有权要求甲方按照合同约定支付合同价款。</w:t>
      </w:r>
    </w:p>
    <w:p w14:paraId="4FED466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（2）乙方应按照合同约定及时交付合同货物。</w:t>
      </w:r>
    </w:p>
    <w:p w14:paraId="76A914F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（3）乙方应随同每套货物提供相应的中文的技术文件。例如：产品目录、图纸、操作手册、使用说明、维护手册或服务指南等。</w:t>
      </w:r>
    </w:p>
    <w:p w14:paraId="5EA17FC0">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（4）乙方应向甲方操作人员提供必要的技术培训。</w:t>
      </w:r>
    </w:p>
    <w:p w14:paraId="1D311A74">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八</w:t>
      </w:r>
      <w:r>
        <w:rPr>
          <w:rFonts w:hint="eastAsia" w:ascii="宋体" w:hAnsi="宋体" w:cs="宋体"/>
          <w:b/>
          <w:bCs/>
          <w:color w:val="auto"/>
          <w:szCs w:val="21"/>
          <w:highlight w:val="none"/>
        </w:rPr>
        <w:t>、售后服务及培训</w:t>
      </w:r>
    </w:p>
    <w:p w14:paraId="7D9E172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9.1货物发生故障接到甲方通知</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小时内及时响应，</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rPr>
        <w:t>个工作日内采取有效的补救措施。具有本地化售后服务机构，专用工具、备品备件充足。</w:t>
      </w:r>
    </w:p>
    <w:p w14:paraId="4885676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9.2交货验收合格后乙方承诺对甲方技术人员提供常规培训及技术指导，确保被培训人员熟练掌握日常清洁、货物保养、技术操作等相关内容，相关费用包含在合同总价中。</w:t>
      </w:r>
    </w:p>
    <w:p w14:paraId="31540B2A">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lang w:val="en-US" w:eastAsia="zh-CN"/>
        </w:rPr>
        <w:t>九</w:t>
      </w:r>
      <w:r>
        <w:rPr>
          <w:rFonts w:hint="eastAsia" w:ascii="宋体" w:hAnsi="宋体" w:cs="宋体"/>
          <w:b/>
          <w:bCs/>
          <w:color w:val="auto"/>
          <w:szCs w:val="21"/>
          <w:highlight w:val="none"/>
        </w:rPr>
        <w:t>、质量保证</w:t>
      </w:r>
    </w:p>
    <w:p w14:paraId="54A1D8BF">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10.1乙方应保证所供货物是全新的、未使用过的，并完全符合合同规定的质量、规格、技术指标（包括合同附件）等要求。乙方应保证其货物在正确安装、正常使用和保养条件下，在其使用寿命内应具有满意的性能。在货物最终验收后的质量保证期内，乙方应对由于设计、工艺或材料的缺陷而产生的故障负责。质保期满后如出现此类问题亦应负责。</w:t>
      </w:r>
    </w:p>
    <w:p w14:paraId="5875BB2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10.2在质量保证期内，如果发现货物的质量、规格、技术指标等存在与合同中任何一项不符，甲方应在60日内以书面形式向乙方提出索赔，同时应向政府采购管理部门报告。</w:t>
      </w:r>
    </w:p>
    <w:p w14:paraId="7E8CBCE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10.3乙方在收到甲方的通知后，应在</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none"/>
          <w:lang w:eastAsia="zh-CN"/>
        </w:rPr>
        <w:t>小时</w:t>
      </w:r>
      <w:r>
        <w:rPr>
          <w:rFonts w:hint="eastAsia" w:ascii="宋体" w:hAnsi="宋体" w:cs="宋体"/>
          <w:color w:val="auto"/>
          <w:szCs w:val="21"/>
          <w:highlight w:val="none"/>
        </w:rPr>
        <w:t>内响应，免费维修或更换有缺陷的货物或部件，并相应延长保修期限。</w:t>
      </w:r>
    </w:p>
    <w:p w14:paraId="4A87F19D">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10.4如果乙方在收到通知后，没有在上述合同条款中规定的时限内及时弥补缺陷，甲方可采取必要的补救措施，但其风险和费用将由乙方承担，甲方根据合同规定对乙方行使的其它权力不受影响。甲方亦可根据乙方提供的质保函进行索赔。</w:t>
      </w:r>
    </w:p>
    <w:p w14:paraId="7EC431B2">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十、违约责任及赔偿损失的计算办法</w:t>
      </w:r>
    </w:p>
    <w:p w14:paraId="564DD7D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11.1合同一方不履行合同义务、履行合同义务不符合约定或者违反合同项下所作保证的，应向对方承担继续履行、采取修理、更换、退货等补救措施或者赔偿损失等违约责任。</w:t>
      </w:r>
    </w:p>
    <w:p w14:paraId="0AD65C11">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11.2乙方未能按时交付合同货物（包括仅迟延交付技术资料但足以导致合同货物安装、调试、考核、验收工作推迟的）的，应向甲方支付迟延交付违约金。每天迟延交付违约金为迟交合同货物价格的</w:t>
      </w:r>
      <w:r>
        <w:rPr>
          <w:rFonts w:hint="eastAsia" w:ascii="宋体" w:hAnsi="宋体" w:cs="宋体"/>
          <w:b/>
          <w:bCs/>
          <w:color w:val="auto"/>
          <w:szCs w:val="21"/>
          <w:highlight w:val="none"/>
          <w:u w:val="single"/>
          <w:lang w:val="en-US" w:eastAsia="zh-CN"/>
        </w:rPr>
        <w:t xml:space="preserve">    </w:t>
      </w:r>
      <w:r>
        <w:rPr>
          <w:rFonts w:hint="eastAsia" w:ascii="宋体" w:hAnsi="宋体" w:cs="宋体"/>
          <w:b/>
          <w:bCs/>
          <w:color w:val="auto"/>
          <w:szCs w:val="21"/>
          <w:highlight w:val="none"/>
        </w:rPr>
        <w:t>。</w:t>
      </w:r>
      <w:r>
        <w:rPr>
          <w:rFonts w:hint="eastAsia" w:ascii="宋体" w:hAnsi="宋体" w:cs="宋体"/>
          <w:color w:val="auto"/>
          <w:szCs w:val="21"/>
          <w:highlight w:val="none"/>
        </w:rPr>
        <w:t>在计算迟延交付违约金时，迟交不足一天的按一天计算。</w:t>
      </w:r>
    </w:p>
    <w:p w14:paraId="2AD635C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迟延交付违约金的支付不能免除乙方继续交付相关合同货物的义务，但如迟延交付必然导致合同货物安装、调试、考核、验收工作推迟的，相关工作应相应顺延。</w:t>
      </w:r>
    </w:p>
    <w:p w14:paraId="4C6D4FE2">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一</w:t>
      </w:r>
      <w:r>
        <w:rPr>
          <w:rFonts w:hint="eastAsia" w:ascii="宋体" w:hAnsi="宋体" w:cs="宋体"/>
          <w:b/>
          <w:bCs/>
          <w:color w:val="auto"/>
          <w:szCs w:val="21"/>
          <w:highlight w:val="none"/>
        </w:rPr>
        <w:t>、合同变更、解除及终止的条件</w:t>
      </w:r>
    </w:p>
    <w:p w14:paraId="7F818D7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12.1本合同在执行过程中，如合同一方提出修改，须报政府采购管理部门同意后，由甲、乙双方签署书面修改协议，并成为本合同不可分割的一部分。除此之外，本合同的条件不得有任何变化或修改。</w:t>
      </w:r>
    </w:p>
    <w:p w14:paraId="7FED0C41">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12.2有下述情形之一，当事人可发出书面通知全部或部分地解除合同，合同自通知到达对方时全部或部分地解除：</w:t>
      </w:r>
    </w:p>
    <w:p w14:paraId="5350BA0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（1）乙方迟延交付合同货物超过</w:t>
      </w:r>
      <w:r>
        <w:rPr>
          <w:rFonts w:hint="eastAsia" w:ascii="宋体" w:hAnsi="宋体" w:cs="宋体"/>
          <w:b/>
          <w:bCs/>
          <w:color w:val="auto"/>
          <w:szCs w:val="21"/>
          <w:highlight w:val="none"/>
          <w:u w:val="single"/>
          <w:lang w:val="en-US" w:eastAsia="zh-CN"/>
        </w:rPr>
        <w:t xml:space="preserve">     </w:t>
      </w:r>
      <w:r>
        <w:rPr>
          <w:rFonts w:hint="eastAsia" w:ascii="宋体" w:hAnsi="宋体" w:cs="宋体"/>
          <w:color w:val="auto"/>
          <w:szCs w:val="21"/>
          <w:highlight w:val="none"/>
        </w:rPr>
        <w:t>；</w:t>
      </w:r>
    </w:p>
    <w:p w14:paraId="1EB037B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Cs w:val="21"/>
          <w:highlight w:val="none"/>
          <w:u w:val="single"/>
        </w:rPr>
        <w:t xml:space="preserve"> </w:t>
      </w:r>
      <w:r>
        <w:rPr>
          <w:rFonts w:hint="eastAsia" w:ascii="宋体" w:hAnsi="宋体" w:cs="宋体"/>
          <w:b/>
          <w:bCs/>
          <w:color w:val="auto"/>
          <w:szCs w:val="21"/>
          <w:highlight w:val="none"/>
          <w:u w:val="single"/>
          <w:lang w:val="en-US" w:eastAsia="zh-CN"/>
        </w:rPr>
        <w:t xml:space="preserve">   </w:t>
      </w:r>
      <w:r>
        <w:rPr>
          <w:rFonts w:hint="eastAsia" w:ascii="宋体" w:hAnsi="宋体" w:cs="宋体"/>
          <w:b/>
          <w:bCs/>
          <w:color w:val="auto"/>
          <w:szCs w:val="21"/>
          <w:highlight w:val="none"/>
          <w:u w:val="single"/>
        </w:rPr>
        <w:t xml:space="preserve"> </w:t>
      </w:r>
      <w:r>
        <w:rPr>
          <w:rFonts w:hint="eastAsia" w:ascii="宋体" w:hAnsi="宋体" w:cs="宋体"/>
          <w:color w:val="auto"/>
          <w:szCs w:val="21"/>
          <w:highlight w:val="none"/>
        </w:rPr>
        <w:t>日内未能对其行为作出补救；</w:t>
      </w:r>
    </w:p>
    <w:p w14:paraId="30CCD255">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（3）合同一方当事人出现破产、清算、资不抵债、成为失信被执行人等可能丧失履约能力的情形，且未能提供令对方满意的履约保证金。</w:t>
      </w:r>
    </w:p>
    <w:p w14:paraId="48D9D97C">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12.3在乙方违约的情况下，甲方报告政府采购管理部门后，有权终止合同，并依法向乙方进行索赔实际损失（包括但不限于维权所支出的律师费、诉讼费、交通费等）。</w:t>
      </w:r>
    </w:p>
    <w:p w14:paraId="08431BB0">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二</w:t>
      </w:r>
      <w:r>
        <w:rPr>
          <w:rFonts w:hint="eastAsia" w:ascii="宋体" w:hAnsi="宋体" w:cs="宋体"/>
          <w:b/>
          <w:bCs/>
          <w:color w:val="auto"/>
          <w:szCs w:val="21"/>
          <w:highlight w:val="none"/>
        </w:rPr>
        <w:t>、验收方式</w:t>
      </w:r>
    </w:p>
    <w:p w14:paraId="1979EA2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由甲方对项目进行整体验收，供应商协助配合。其内容包括确认产品的产地、规格、型号和数量，对其产品技术指标、性能参数、样式、颜色、以及质量是否达到现行国家有关验收规范“合格”标准、是否按照采购人要求安装到位、是否按照甲方要求进行调试和提供相关培训、是否在规定时间内安装完毕、所有产品的配套包装是否完好无损等进行逐项检查。</w:t>
      </w:r>
    </w:p>
    <w:p w14:paraId="688EFEEA">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1）所验产品的指标、性能参数最终验收达不到招标文件要求和投标文件承诺的，或在使用中发现甲方不能容忍的缺陷等，将视为产品验收不合格，乙方应在甲方要求的时间内无条件免费更换或退货。</w:t>
      </w:r>
    </w:p>
    <w:p w14:paraId="7B3BA9F0">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2）若发现乙方有弄虚作假的，在投标阶段故意或随意夸大产品技术性能，乙方应无条件退货，本合同解除，乙方赔偿甲方相应的损失。</w:t>
      </w:r>
    </w:p>
    <w:p w14:paraId="75334B1D">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3）验收标准：按招标文件、投标文件及澄清函等技术指标进行验收。各项指标均应符合验收标准及要求。</w:t>
      </w:r>
    </w:p>
    <w:p w14:paraId="08C692C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4）验收合格后，填写验收单，双方签字生效。</w:t>
      </w:r>
    </w:p>
    <w:p w14:paraId="69F962A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5）验收依据：</w:t>
      </w:r>
    </w:p>
    <w:p w14:paraId="1286CE8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① 合同文本；</w:t>
      </w:r>
    </w:p>
    <w:p w14:paraId="44CEEBC7">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② 投标文件及澄清函、招标文件；</w:t>
      </w:r>
    </w:p>
    <w:p w14:paraId="283C5AA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③ 国家和行业制定的相应的标准和规范；</w:t>
      </w:r>
    </w:p>
    <w:p w14:paraId="5732B4A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④ 验收清单（注明各部件的品名、数量、规格型号和原产地或生产厂家）。</w:t>
      </w:r>
    </w:p>
    <w:p w14:paraId="4561F602">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三</w:t>
      </w:r>
      <w:r>
        <w:rPr>
          <w:rFonts w:hint="eastAsia" w:ascii="宋体" w:hAnsi="宋体" w:cs="宋体"/>
          <w:b/>
          <w:bCs/>
          <w:color w:val="auto"/>
          <w:szCs w:val="21"/>
          <w:highlight w:val="none"/>
        </w:rPr>
        <w:t>、保密约定</w:t>
      </w:r>
    </w:p>
    <w:p w14:paraId="479F910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14.1合同双方应对因履行合同而取得的另一方当事人的信息、资料等予以保密。未经另一方当事人书面同意，任何一方均不得为与履行合同无关的目的使用或向第三方披露另一方当事人提供的信息、资料。</w:t>
      </w:r>
    </w:p>
    <w:p w14:paraId="4E39E7C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14.2合同当事人的保密义务不适用于下列信息：</w:t>
      </w:r>
    </w:p>
    <w:p w14:paraId="40C7DEDE">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（1）非因接受信息一方的过失现在或以后进入公共领域的信息；</w:t>
      </w:r>
    </w:p>
    <w:p w14:paraId="4C7DBDF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（2）接受信息一方当事人合法地从第三方获得并且据其善意了解第三方也不对此承担保密义务的信息；</w:t>
      </w:r>
    </w:p>
    <w:p w14:paraId="62CB942B">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（3）法律或法律的执行要求披露的信息。</w:t>
      </w:r>
    </w:p>
    <w:p w14:paraId="05B9C77B">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四</w:t>
      </w:r>
      <w:r>
        <w:rPr>
          <w:rFonts w:hint="eastAsia" w:ascii="宋体" w:hAnsi="宋体" w:cs="宋体"/>
          <w:b/>
          <w:bCs/>
          <w:color w:val="auto"/>
          <w:szCs w:val="21"/>
          <w:highlight w:val="none"/>
        </w:rPr>
        <w:t>、合同争议解决方式</w:t>
      </w:r>
    </w:p>
    <w:p w14:paraId="33FD0BE9">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因执行本合同所发生的或与本合同有关的一切争议,双方应通过友好协商解决，协商不成的可依法向甲方所在地人民法院起诉。</w:t>
      </w:r>
    </w:p>
    <w:p w14:paraId="1F99E308">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五</w:t>
      </w:r>
      <w:r>
        <w:rPr>
          <w:rFonts w:hint="eastAsia" w:ascii="宋体" w:hAnsi="宋体" w:cs="宋体"/>
          <w:b/>
          <w:bCs/>
          <w:color w:val="auto"/>
          <w:szCs w:val="21"/>
          <w:highlight w:val="none"/>
        </w:rPr>
        <w:t>、不可抗力情况下的免责约定</w:t>
      </w:r>
    </w:p>
    <w:p w14:paraId="5369A3B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28日内将有关当局或机构出具的证明文件提交给另一方当事人。</w:t>
      </w:r>
    </w:p>
    <w:p w14:paraId="1676C632">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16.2受不可抗力事件影响的一方当事人对于不可抗力事件导致的任何合同义务的迟延履行或不能履行不承担违约责任。但该方当事人应尽快将不可抗力事件结束或消除的情况通知另一方当事人。</w:t>
      </w:r>
    </w:p>
    <w:p w14:paraId="3181E6A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16.3双方当事人应在不可抗力事件结束或其影响消除后立即继续履行其合同义务，合同期限也应相应顺延。如果不可抗力事件的影响持续超过</w:t>
      </w:r>
      <w:r>
        <w:rPr>
          <w:rFonts w:hint="eastAsia" w:ascii="宋体" w:hAnsi="宋体" w:cs="宋体"/>
          <w:b/>
          <w:bCs/>
          <w:color w:val="auto"/>
          <w:szCs w:val="21"/>
          <w:highlight w:val="none"/>
          <w:u w:val="single"/>
        </w:rPr>
        <w:t xml:space="preserve"> 90 </w:t>
      </w:r>
      <w:r>
        <w:rPr>
          <w:rFonts w:hint="eastAsia" w:ascii="宋体" w:hAnsi="宋体" w:cs="宋体"/>
          <w:color w:val="auto"/>
          <w:szCs w:val="21"/>
          <w:highlight w:val="none"/>
        </w:rPr>
        <w:t>日，则任何一方当事人均有权以书面通知解除合同。</w:t>
      </w:r>
    </w:p>
    <w:p w14:paraId="0CAC721D">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六</w:t>
      </w:r>
      <w:r>
        <w:rPr>
          <w:rFonts w:hint="eastAsia" w:ascii="宋体" w:hAnsi="宋体" w:cs="宋体"/>
          <w:b/>
          <w:bCs/>
          <w:color w:val="auto"/>
          <w:szCs w:val="21"/>
          <w:highlight w:val="none"/>
        </w:rPr>
        <w:t>、生效条件、订立日期</w:t>
      </w:r>
    </w:p>
    <w:p w14:paraId="1E0DE724">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17.1本合同在甲、乙双方签字、盖章之后生效。</w:t>
      </w:r>
    </w:p>
    <w:p w14:paraId="50D3AB96">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17.2本合同正本一式二份，副本一式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份，均以中文书写。甲方执正本一份、副本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份；乙方执正本一份，副本</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份；见证方执副本一份；政府采购管理部门备案副本一份。</w:t>
      </w:r>
    </w:p>
    <w:p w14:paraId="0B17AA7C">
      <w:pPr>
        <w:pageBreakBefore w:val="0"/>
        <w:kinsoku/>
        <w:overflowPunct/>
        <w:topLinePunct w:val="0"/>
        <w:bidi w:val="0"/>
        <w:spacing w:beforeAutospacing="0" w:afterAutospacing="0" w:line="440" w:lineRule="exact"/>
        <w:ind w:left="0" w:leftChars="0" w:right="0"/>
        <w:rPr>
          <w:rFonts w:hint="eastAsia" w:ascii="宋体" w:hAnsi="宋体" w:cs="宋体"/>
          <w:b/>
          <w:bCs/>
          <w:color w:val="auto"/>
          <w:szCs w:val="21"/>
          <w:highlight w:val="none"/>
        </w:rPr>
      </w:pPr>
      <w:r>
        <w:rPr>
          <w:rFonts w:hint="eastAsia" w:ascii="宋体" w:hAnsi="宋体" w:cs="宋体"/>
          <w:b/>
          <w:bCs/>
          <w:color w:val="auto"/>
          <w:szCs w:val="21"/>
          <w:highlight w:val="none"/>
        </w:rPr>
        <w:t>十</w:t>
      </w:r>
      <w:r>
        <w:rPr>
          <w:rFonts w:hint="eastAsia" w:ascii="宋体" w:hAnsi="宋体" w:cs="宋体"/>
          <w:b/>
          <w:bCs/>
          <w:color w:val="auto"/>
          <w:szCs w:val="21"/>
          <w:highlight w:val="none"/>
          <w:lang w:val="en-US" w:eastAsia="zh-CN"/>
        </w:rPr>
        <w:t>七</w:t>
      </w:r>
      <w:r>
        <w:rPr>
          <w:rFonts w:hint="eastAsia" w:ascii="宋体" w:hAnsi="宋体" w:cs="宋体"/>
          <w:b/>
          <w:bCs/>
          <w:color w:val="auto"/>
          <w:szCs w:val="21"/>
          <w:highlight w:val="none"/>
        </w:rPr>
        <w:t>、其他事项</w:t>
      </w:r>
    </w:p>
    <w:p w14:paraId="0232518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合同其他事项双方另行协商补充：</w:t>
      </w:r>
      <w:r>
        <w:rPr>
          <w:rFonts w:hint="eastAsia" w:ascii="宋体" w:hAnsi="宋体" w:cs="宋体"/>
          <w:color w:val="auto"/>
          <w:szCs w:val="21"/>
          <w:highlight w:val="none"/>
          <w:u w:val="single"/>
        </w:rPr>
        <w:t xml:space="preserve">                /                  </w:t>
      </w:r>
    </w:p>
    <w:p w14:paraId="413396F8">
      <w:pPr>
        <w:pageBreakBefore w:val="0"/>
        <w:kinsoku/>
        <w:overflowPunct/>
        <w:topLinePunct w:val="0"/>
        <w:bidi w:val="0"/>
        <w:spacing w:beforeAutospacing="0" w:afterAutospacing="0" w:line="440" w:lineRule="exact"/>
        <w:ind w:left="0" w:leftChars="0" w:right="0" w:firstLine="420" w:firstLineChars="200"/>
        <w:rPr>
          <w:rFonts w:hint="eastAsia" w:ascii="宋体" w:hAnsi="宋体" w:cs="宋体"/>
          <w:color w:val="auto"/>
          <w:szCs w:val="21"/>
          <w:highlight w:val="none"/>
        </w:rPr>
      </w:pPr>
    </w:p>
    <w:p w14:paraId="03046C21">
      <w:pPr>
        <w:rPr>
          <w:rFonts w:hint="eastAsia" w:ascii="宋体" w:hAnsi="宋体" w:cs="宋体"/>
          <w:color w:val="auto"/>
          <w:szCs w:val="21"/>
          <w:highlight w:val="none"/>
        </w:rPr>
      </w:pPr>
      <w:r>
        <w:rPr>
          <w:rFonts w:hint="eastAsia" w:ascii="宋体" w:hAnsi="宋体" w:cs="宋体"/>
          <w:color w:val="auto"/>
          <w:szCs w:val="21"/>
          <w:highlight w:val="none"/>
        </w:rPr>
        <w:br w:type="page"/>
      </w:r>
    </w:p>
    <w:p w14:paraId="79076F36">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color w:val="auto"/>
          <w:szCs w:val="21"/>
          <w:highlight w:val="none"/>
        </w:rPr>
        <w:t>（此后无正文）</w:t>
      </w:r>
    </w:p>
    <w:p w14:paraId="6276CB2A">
      <w:pPr>
        <w:pageBreakBefore w:val="0"/>
        <w:kinsoku/>
        <w:overflowPunct/>
        <w:topLinePunct w:val="0"/>
        <w:bidi w:val="0"/>
        <w:spacing w:beforeAutospacing="0" w:afterAutospacing="0" w:line="440" w:lineRule="exact"/>
        <w:ind w:left="0" w:leftChars="0" w:right="0"/>
        <w:rPr>
          <w:rFonts w:hint="eastAsia" w:ascii="宋体" w:hAnsi="宋体" w:cs="宋体"/>
          <w:color w:val="auto"/>
          <w:szCs w:val="21"/>
          <w:highlight w:val="none"/>
        </w:rPr>
      </w:pPr>
      <w:r>
        <w:rPr>
          <w:rFonts w:hint="eastAsia" w:ascii="宋体" w:hAnsi="宋体" w:cs="宋体"/>
          <w:color w:val="auto"/>
          <w:szCs w:val="21"/>
          <w:highlight w:val="none"/>
        </w:rPr>
        <w:t>签章页：</w:t>
      </w:r>
    </w:p>
    <w:tbl>
      <w:tblPr>
        <w:tblStyle w:val="2"/>
        <w:tblW w:w="494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4172"/>
      </w:tblGrid>
      <w:tr w14:paraId="4F7E1F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4" w:type="pct"/>
            <w:noWrap/>
            <w:vAlign w:val="center"/>
          </w:tcPr>
          <w:p w14:paraId="2B139CFE">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甲  方</w:t>
            </w:r>
          </w:p>
        </w:tc>
        <w:tc>
          <w:tcPr>
            <w:tcW w:w="2475" w:type="pct"/>
            <w:noWrap/>
            <w:vAlign w:val="center"/>
          </w:tcPr>
          <w:p w14:paraId="4FA7C80B">
            <w:pPr>
              <w:pageBreakBefore w:val="0"/>
              <w:kinsoku/>
              <w:overflowPunct/>
              <w:topLinePunct w:val="0"/>
              <w:bidi w:val="0"/>
              <w:spacing w:beforeAutospacing="0" w:afterAutospacing="0" w:line="440" w:lineRule="exact"/>
              <w:ind w:left="0" w:leftChars="0" w:right="0"/>
              <w:jc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乙  方</w:t>
            </w:r>
          </w:p>
        </w:tc>
      </w:tr>
      <w:tr w14:paraId="77EC94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651F4290">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（公章）</w:t>
            </w:r>
          </w:p>
        </w:tc>
        <w:tc>
          <w:tcPr>
            <w:tcW w:w="2475" w:type="pct"/>
            <w:noWrap/>
            <w:vAlign w:val="center"/>
          </w:tcPr>
          <w:p w14:paraId="19A7E5A7">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（公章）</w:t>
            </w:r>
          </w:p>
        </w:tc>
      </w:tr>
      <w:tr w14:paraId="012531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452F7F8">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地址：</w:t>
            </w:r>
          </w:p>
        </w:tc>
        <w:tc>
          <w:tcPr>
            <w:tcW w:w="2475" w:type="pct"/>
            <w:noWrap/>
            <w:vAlign w:val="center"/>
          </w:tcPr>
          <w:p w14:paraId="10F5CA3B">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地址：</w:t>
            </w:r>
          </w:p>
        </w:tc>
      </w:tr>
      <w:tr w14:paraId="6D8FED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89C8DB6">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邮编：</w:t>
            </w:r>
          </w:p>
        </w:tc>
        <w:tc>
          <w:tcPr>
            <w:tcW w:w="2475" w:type="pct"/>
            <w:noWrap/>
            <w:vAlign w:val="center"/>
          </w:tcPr>
          <w:p w14:paraId="542CEB94">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邮编：</w:t>
            </w:r>
          </w:p>
        </w:tc>
      </w:tr>
      <w:tr w14:paraId="65767D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4D634FB">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法定代表人：</w:t>
            </w:r>
          </w:p>
        </w:tc>
        <w:tc>
          <w:tcPr>
            <w:tcW w:w="2475" w:type="pct"/>
            <w:noWrap/>
            <w:vAlign w:val="center"/>
          </w:tcPr>
          <w:p w14:paraId="1972C9A3">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法定代表人：</w:t>
            </w:r>
          </w:p>
        </w:tc>
      </w:tr>
      <w:tr w14:paraId="4711665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8F62F5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负责人：</w:t>
            </w:r>
          </w:p>
        </w:tc>
        <w:tc>
          <w:tcPr>
            <w:tcW w:w="2475" w:type="pct"/>
            <w:noWrap/>
            <w:vAlign w:val="center"/>
          </w:tcPr>
          <w:p w14:paraId="17940489">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负责人：</w:t>
            </w:r>
          </w:p>
        </w:tc>
      </w:tr>
      <w:tr w14:paraId="2A2E0F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70CFB06E">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电话：</w:t>
            </w:r>
          </w:p>
        </w:tc>
        <w:tc>
          <w:tcPr>
            <w:tcW w:w="2475" w:type="pct"/>
            <w:noWrap/>
            <w:vAlign w:val="center"/>
          </w:tcPr>
          <w:p w14:paraId="61A4E981">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电话：</w:t>
            </w:r>
          </w:p>
        </w:tc>
      </w:tr>
      <w:tr w14:paraId="4BDFCC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11B94926">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p>
        </w:tc>
        <w:tc>
          <w:tcPr>
            <w:tcW w:w="2475" w:type="pct"/>
            <w:noWrap/>
            <w:vAlign w:val="center"/>
          </w:tcPr>
          <w:p w14:paraId="0C82BCF1">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开户银行：</w:t>
            </w:r>
          </w:p>
        </w:tc>
      </w:tr>
      <w:tr w14:paraId="6EFEE5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1906D94F">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p>
        </w:tc>
        <w:tc>
          <w:tcPr>
            <w:tcW w:w="2475" w:type="pct"/>
            <w:noWrap/>
            <w:vAlign w:val="center"/>
          </w:tcPr>
          <w:p w14:paraId="417DE3B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账号：</w:t>
            </w:r>
          </w:p>
        </w:tc>
      </w:tr>
      <w:tr w14:paraId="202336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6D25DC8D">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日期：   年   月   日</w:t>
            </w:r>
          </w:p>
        </w:tc>
        <w:tc>
          <w:tcPr>
            <w:tcW w:w="2475" w:type="pct"/>
            <w:noWrap/>
            <w:vAlign w:val="center"/>
          </w:tcPr>
          <w:p w14:paraId="135B35EC">
            <w:pPr>
              <w:pageBreakBefore w:val="0"/>
              <w:kinsoku/>
              <w:overflowPunct/>
              <w:topLinePunct w:val="0"/>
              <w:bidi w:val="0"/>
              <w:spacing w:beforeAutospacing="0" w:afterAutospacing="0" w:line="440" w:lineRule="exact"/>
              <w:ind w:left="0" w:leftChars="0" w:right="0"/>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日期：   年   月   日</w:t>
            </w:r>
          </w:p>
        </w:tc>
      </w:tr>
    </w:tbl>
    <w:p w14:paraId="1CF9F347">
      <w:pPr>
        <w:pStyle w:val="5"/>
        <w:rPr>
          <w:rFonts w:hint="eastAsia" w:ascii="仿宋_GB2312" w:hAnsi="仿宋_GB2312" w:eastAsia="仿宋_GB2312" w:cs="仿宋_GB2312"/>
          <w:lang w:val="en-US" w:eastAsia="zh-Hans"/>
        </w:rPr>
      </w:pPr>
    </w:p>
    <w:p w14:paraId="1F4F9C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DD43F1E"/>
    <w:rsid w:val="783D5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 w:type="paragraph" w:customStyle="1" w:styleId="5">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2025-12-04T10:24:47Z</dcterms:created>
  <dc:creator>Administrator</dc:creator>
  <cp:lastModifiedBy>圆梦</cp:lastModifiedBy>
  <dcterms:modified xsi:type="dcterms:W3CDTF">2025-12-04T10:25:18Z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eyJoZGlkIjoiZGE3ZTJiZWQzYjJhOTVlMTkzZGY1MTZiZWVjYjFiNzkiLCJ1c2VySWQiOiI3MDM0Mjk0MzEifQ==</vt:lpwstr>
  </property>
  <property fmtid="{D5CDD505-2E9C-101B-9397-08002B2CF9AE}" pid="4" name="ICV">
    <vt:lpwstr>FC7922F6F02D42CC9CE2244F47B3C4AC_12</vt:lpwstr>
  </property>
</Properties>
</file>