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版本号：慧科ZX-CF01352BH20251204002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除雪设备采购项目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慧科ZX-CF01352BH</w:t>
      </w:r>
      <w:r>
        <w:br/>
      </w:r>
      <w:r>
        <w:br/>
      </w:r>
      <w:r>
        <w:br/>
      </w:r>
    </w:p>
    <w:p>
      <w:pPr>
        <w:pStyle w:val="null3"/>
        <w:jc w:val="center"/>
        <w:outlineLvl w:val="2"/>
      </w:pPr>
      <w:r>
        <w:rPr>
          <w:rFonts w:ascii="仿宋_GB2312" w:hAnsi="仿宋_GB2312" w:cs="仿宋_GB2312" w:eastAsia="仿宋_GB2312"/>
          <w:sz w:val="28"/>
          <w:b/>
        </w:rPr>
        <w:t>富平县环境卫生管理中心</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富平县环境卫生管理中心</w:t>
      </w:r>
      <w:r>
        <w:rPr>
          <w:rFonts w:ascii="仿宋_GB2312" w:hAnsi="仿宋_GB2312" w:cs="仿宋_GB2312" w:eastAsia="仿宋_GB2312"/>
        </w:rPr>
        <w:t>委托，拟对</w:t>
      </w:r>
      <w:r>
        <w:rPr>
          <w:rFonts w:ascii="仿宋_GB2312" w:hAnsi="仿宋_GB2312" w:cs="仿宋_GB2312" w:eastAsia="仿宋_GB2312"/>
        </w:rPr>
        <w:t>除雪设备采购项目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慧科ZX-CF01352BH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除雪设备采购项目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为有效提升作业效率，购置除雪设备4台，具体内容详见采购文件。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1、有效的主体资格证明：供应商为合法注册的法人、其他组织或自然人，提供营业执照等证明文件。</w:t>
      </w:r>
    </w:p>
    <w:p>
      <w:pPr>
        <w:pStyle w:val="null3"/>
      </w:pPr>
      <w:r>
        <w:rPr>
          <w:rFonts w:ascii="仿宋_GB2312" w:hAnsi="仿宋_GB2312" w:cs="仿宋_GB2312" w:eastAsia="仿宋_GB2312"/>
        </w:rPr>
        <w:t>2、财务状况证明：供应商2024年度经审计的财务报告或投标截止时间前三个月内其基本开户银行出具的资信证明及账户开户许可证明材料或财政部门认可的政府采购专业担保机构开具的投标担保函（任选其一）。</w:t>
      </w:r>
    </w:p>
    <w:p>
      <w:pPr>
        <w:pStyle w:val="null3"/>
      </w:pPr>
      <w:r>
        <w:rPr>
          <w:rFonts w:ascii="仿宋_GB2312" w:hAnsi="仿宋_GB2312" w:cs="仿宋_GB2312" w:eastAsia="仿宋_GB2312"/>
        </w:rPr>
        <w:t>3、税收缴纳证明：提供投标文件递交截止日前一年内已缴存的至少一个月的纳税证明或完税证明。依法免税的供应商应提供相关文件证明。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4、社保资金缴纳证明：提供投标文件递交截止日前一年内已缴存的至少一个月的社会保障资金缴存单据或社保机构开具的社会保险参保缴费情况证明，依法不需要缴纳社会保障资金的单位应提供相关证明材料。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5、专业技术能力的声明：提供具有履行本合同所必需的设备和专业技术能力的声明或承诺。</w:t>
      </w:r>
    </w:p>
    <w:p>
      <w:pPr>
        <w:pStyle w:val="null3"/>
      </w:pPr>
      <w:r>
        <w:rPr>
          <w:rFonts w:ascii="仿宋_GB2312" w:hAnsi="仿宋_GB2312" w:cs="仿宋_GB2312" w:eastAsia="仿宋_GB2312"/>
        </w:rPr>
        <w:t>6、没有重大违法记录的书面声明：提供参加政府采购活动前三年内在经营活动中没有重大违法记录的书面声明。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信用查询：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投标截止日当天代理机构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富平县环境卫生管理中心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富平县车站大街西段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0913-8203233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陕西省西安市高新区锦业一路56号研祥城市广场C座3楼C-306号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李小刚、达涛涛、孟小君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029-89384142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关于招标代理服务收费有关问题的通知》（发改办价格〔2003〕857号）以及《关于降低部分建设项目收费标准规范收费行为等有关问题的通知》(发改价格〔2011〕534号)，以货物收费标准收取招标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富平县环境卫生管理中心</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富平县环境卫生管理中心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富平县环境卫生管理中心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联系人：李小刚、达涛涛</w:t>
      </w:r>
    </w:p>
    <w:p>
      <w:pPr>
        <w:pStyle w:val="null3"/>
      </w:pPr>
      <w:r>
        <w:rPr>
          <w:rFonts w:ascii="仿宋_GB2312" w:hAnsi="仿宋_GB2312" w:cs="仿宋_GB2312" w:eastAsia="仿宋_GB2312"/>
        </w:rPr>
        <w:t>联系电话：029-89384142</w:t>
      </w:r>
    </w:p>
    <w:p>
      <w:pPr>
        <w:pStyle w:val="null3"/>
      </w:pPr>
      <w:r>
        <w:rPr>
          <w:rFonts w:ascii="仿宋_GB2312" w:hAnsi="仿宋_GB2312" w:cs="仿宋_GB2312" w:eastAsia="仿宋_GB2312"/>
        </w:rPr>
        <w:t>地址：陕西省西安市高新区锦业一路56号研祥城市广场C座3楼C-306号</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为有效提升作业效率，购置除雪设备4台，具体内容详见采购文件。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除雪设备采购项目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标的名称：除雪设备采购项目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b/>
              </w:rPr>
              <w:t>购置除雪设备</w:t>
            </w:r>
            <w:r>
              <w:rPr>
                <w:rFonts w:ascii="仿宋_GB2312" w:hAnsi="仿宋_GB2312" w:cs="仿宋_GB2312" w:eastAsia="仿宋_GB2312"/>
                <w:sz w:val="21"/>
                <w:b/>
              </w:rPr>
              <w:t>4台</w:t>
            </w:r>
          </w:p>
          <w:tbl>
            <w:tblPr>
              <w:tblBorders>
                <w:top w:val="none" w:color="000000" w:sz="4"/>
                <w:left w:val="none" w:color="000000" w:sz="4"/>
                <w:bottom w:val="none" w:color="000000" w:sz="4"/>
                <w:right w:val="none" w:color="000000" w:sz="4"/>
                <w:insideH w:val="none"/>
                <w:insideV w:val="none"/>
              </w:tblBorders>
            </w:tblPr>
            <w:tblGrid>
              <w:gridCol w:w="292"/>
              <w:gridCol w:w="984"/>
              <w:gridCol w:w="1276"/>
            </w:tblGrid>
            <w:tr>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1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规格要求</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整机外形尺寸（</w:t>
                  </w:r>
                  <w:r>
                    <w:rPr>
                      <w:rFonts w:ascii="仿宋_GB2312" w:hAnsi="仿宋_GB2312" w:cs="仿宋_GB2312" w:eastAsia="仿宋_GB2312"/>
                      <w:sz w:val="21"/>
                    </w:rPr>
                    <w:t>mm）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≥63</w:t>
                  </w:r>
                  <w:r>
                    <w:rPr>
                      <w:rFonts w:ascii="仿宋_GB2312" w:hAnsi="仿宋_GB2312" w:cs="仿宋_GB2312" w:eastAsia="仿宋_GB2312"/>
                      <w:sz w:val="21"/>
                    </w:rPr>
                    <w:t>0</w:t>
                  </w:r>
                  <w:r>
                    <w:rPr>
                      <w:rFonts w:ascii="仿宋_GB2312" w:hAnsi="仿宋_GB2312" w:cs="仿宋_GB2312" w:eastAsia="仿宋_GB2312"/>
                      <w:sz w:val="21"/>
                    </w:rPr>
                    <w:t>0*3400*27</w:t>
                  </w:r>
                  <w:r>
                    <w:rPr>
                      <w:rFonts w:ascii="仿宋_GB2312" w:hAnsi="仿宋_GB2312" w:cs="仿宋_GB2312" w:eastAsia="仿宋_GB2312"/>
                      <w:sz w:val="21"/>
                    </w:rPr>
                    <w:t>0</w:t>
                  </w:r>
                  <w:r>
                    <w:rPr>
                      <w:rFonts w:ascii="仿宋_GB2312" w:hAnsi="仿宋_GB2312" w:cs="仿宋_GB2312" w:eastAsia="仿宋_GB2312"/>
                      <w:sz w:val="21"/>
                    </w:rPr>
                    <w:t>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驾驶室准乘人数（人）</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驱动形式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全时</w:t>
                  </w:r>
                  <w:r>
                    <w:rPr>
                      <w:rFonts w:ascii="仿宋_GB2312" w:hAnsi="仿宋_GB2312" w:cs="仿宋_GB2312" w:eastAsia="仿宋_GB2312"/>
                      <w:sz w:val="21"/>
                    </w:rPr>
                    <w:t>四驱</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刹车断挡</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无极变速液力变矩器</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最高车速（</w:t>
                  </w:r>
                  <w:r>
                    <w:rPr>
                      <w:rFonts w:ascii="仿宋_GB2312" w:hAnsi="仿宋_GB2312" w:cs="仿宋_GB2312" w:eastAsia="仿宋_GB2312"/>
                      <w:sz w:val="21"/>
                    </w:rPr>
                    <w:t>km/h）</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作业速度（</w:t>
                  </w:r>
                  <w:r>
                    <w:rPr>
                      <w:rFonts w:ascii="仿宋_GB2312" w:hAnsi="仿宋_GB2312" w:cs="仿宋_GB2312" w:eastAsia="仿宋_GB2312"/>
                      <w:sz w:val="21"/>
                    </w:rPr>
                    <w:t>km/h）</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燃油类型</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柴油</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发动机</w:t>
                  </w:r>
                  <w:r>
                    <w:rPr>
                      <w:rFonts w:ascii="仿宋_GB2312" w:hAnsi="仿宋_GB2312" w:cs="仿宋_GB2312" w:eastAsia="仿宋_GB2312"/>
                      <w:sz w:val="21"/>
                    </w:rPr>
                    <w:t>功率（</w:t>
                  </w:r>
                  <w:r>
                    <w:rPr>
                      <w:rFonts w:ascii="仿宋_GB2312" w:hAnsi="仿宋_GB2312" w:cs="仿宋_GB2312" w:eastAsia="仿宋_GB2312"/>
                      <w:sz w:val="21"/>
                    </w:rPr>
                    <w:t>kW）</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轴距</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轮距</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1100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轮胎</w:t>
                  </w:r>
                  <w:r>
                    <w:rPr>
                      <w:rFonts w:ascii="仿宋_GB2312" w:hAnsi="仿宋_GB2312" w:cs="仿宋_GB2312" w:eastAsia="仿宋_GB2312"/>
                      <w:sz w:val="21"/>
                    </w:rPr>
                    <w:t>规格</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≥16/70-20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滚刷宽度（</w:t>
                  </w:r>
                  <w:r>
                    <w:rPr>
                      <w:rFonts w:ascii="仿宋_GB2312" w:hAnsi="仿宋_GB2312" w:cs="仿宋_GB2312" w:eastAsia="仿宋_GB2312"/>
                      <w:sz w:val="21"/>
                    </w:rPr>
                    <w:t>mm）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≥3400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滚刷直径（</w:t>
                  </w:r>
                  <w:r>
                    <w:rPr>
                      <w:rFonts w:ascii="仿宋_GB2312" w:hAnsi="仿宋_GB2312" w:cs="仿宋_GB2312" w:eastAsia="仿宋_GB2312"/>
                      <w:sz w:val="21"/>
                    </w:rPr>
                    <w:t>mm）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除雪宽度（</w:t>
                  </w:r>
                  <w:r>
                    <w:rPr>
                      <w:rFonts w:ascii="仿宋_GB2312" w:hAnsi="仿宋_GB2312" w:cs="仿宋_GB2312" w:eastAsia="仿宋_GB2312"/>
                      <w:sz w:val="21"/>
                    </w:rPr>
                    <w:t>mm）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≥3200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滚刷材质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聚丙烯钢丝混合型</w:t>
                  </w:r>
                  <w:r>
                    <w:rPr>
                      <w:rFonts w:ascii="仿宋_GB2312" w:hAnsi="仿宋_GB2312" w:cs="仿宋_GB2312" w:eastAsia="仿宋_GB2312"/>
                      <w:sz w:val="21"/>
                    </w:rPr>
                    <w:t>(70%尼龙+30%钢丝)</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w:t>
                  </w:r>
                  <w:r>
                    <w:rPr>
                      <w:rFonts w:ascii="仿宋_GB2312" w:hAnsi="仿宋_GB2312" w:cs="仿宋_GB2312" w:eastAsia="仿宋_GB2312"/>
                      <w:sz w:val="21"/>
                    </w:rPr>
                    <w:t>与车体连接</w:t>
                  </w:r>
                  <w:r>
                    <w:rPr>
                      <w:rFonts w:ascii="仿宋_GB2312" w:hAnsi="仿宋_GB2312" w:cs="仿宋_GB2312" w:eastAsia="仿宋_GB2312"/>
                      <w:sz w:val="21"/>
                    </w:rPr>
                    <w:t>方式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快装</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w:t>
                  </w:r>
                  <w:r>
                    <w:rPr>
                      <w:rFonts w:ascii="仿宋_GB2312" w:hAnsi="仿宋_GB2312" w:cs="仿宋_GB2312" w:eastAsia="仿宋_GB2312"/>
                      <w:sz w:val="21"/>
                    </w:rPr>
                    <w:t>拆卸</w:t>
                  </w:r>
                  <w:r>
                    <w:rPr>
                      <w:rFonts w:ascii="仿宋_GB2312" w:hAnsi="仿宋_GB2312" w:cs="仿宋_GB2312" w:eastAsia="仿宋_GB2312"/>
                      <w:sz w:val="21"/>
                    </w:rPr>
                    <w:t>/连接时间</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20分钟</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w:t>
                  </w:r>
                  <w:r>
                    <w:rPr>
                      <w:rFonts w:ascii="仿宋_GB2312" w:hAnsi="仿宋_GB2312" w:cs="仿宋_GB2312" w:eastAsia="仿宋_GB2312"/>
                      <w:sz w:val="21"/>
                    </w:rPr>
                    <w:t>左右最大摆角</w:t>
                  </w:r>
                  <w:r>
                    <w:rPr>
                      <w:rFonts w:ascii="仿宋_GB2312" w:hAnsi="仿宋_GB2312" w:cs="仿宋_GB2312" w:eastAsia="仿宋_GB2312"/>
                      <w:sz w:val="21"/>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w:t>
                  </w:r>
                  <w:r>
                    <w:rPr>
                      <w:rFonts w:ascii="仿宋_GB2312" w:hAnsi="仿宋_GB2312" w:cs="仿宋_GB2312" w:eastAsia="仿宋_GB2312"/>
                      <w:sz w:val="21"/>
                    </w:rPr>
                    <w:t>最高</w:t>
                  </w:r>
                  <w:r>
                    <w:rPr>
                      <w:rFonts w:ascii="仿宋_GB2312" w:hAnsi="仿宋_GB2312" w:cs="仿宋_GB2312" w:eastAsia="仿宋_GB2312"/>
                      <w:sz w:val="21"/>
                    </w:rPr>
                    <w:t>转速（</w:t>
                  </w:r>
                  <w:r>
                    <w:rPr>
                      <w:rFonts w:ascii="仿宋_GB2312" w:hAnsi="仿宋_GB2312" w:cs="仿宋_GB2312" w:eastAsia="仿宋_GB2312"/>
                      <w:sz w:val="21"/>
                    </w:rPr>
                    <w:t>r/min）</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≥290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液压泵工作排量（</w:t>
                  </w:r>
                  <w:r>
                    <w:rPr>
                      <w:rFonts w:ascii="仿宋_GB2312" w:hAnsi="仿宋_GB2312" w:cs="仿宋_GB2312" w:eastAsia="仿宋_GB2312"/>
                      <w:sz w:val="21"/>
                    </w:rPr>
                    <w:t>ml/r）</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液压泵</w:t>
                  </w:r>
                  <w:r>
                    <w:rPr>
                      <w:rFonts w:ascii="仿宋_GB2312" w:hAnsi="仿宋_GB2312" w:cs="仿宋_GB2312" w:eastAsia="仿宋_GB2312"/>
                      <w:sz w:val="21"/>
                    </w:rPr>
                    <w:t>工作</w:t>
                  </w:r>
                  <w:r>
                    <w:rPr>
                      <w:rFonts w:ascii="仿宋_GB2312" w:hAnsi="仿宋_GB2312" w:cs="仿宋_GB2312" w:eastAsia="仿宋_GB2312"/>
                      <w:sz w:val="21"/>
                    </w:rPr>
                    <w:t>压力</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≥16MPa</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滚刷动力</w:t>
                  </w:r>
                  <w:r>
                    <w:rPr>
                      <w:rFonts w:ascii="仿宋_GB2312" w:hAnsi="仿宋_GB2312" w:cs="仿宋_GB2312" w:eastAsia="仿宋_GB2312"/>
                      <w:sz w:val="21"/>
                    </w:rPr>
                    <w:t>驱动</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内置式双液压马达</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液压马达工作流量</w:t>
                  </w:r>
                  <w:r>
                    <w:rPr>
                      <w:rFonts w:ascii="仿宋_GB2312" w:hAnsi="仿宋_GB2312" w:cs="仿宋_GB2312" w:eastAsia="仿宋_GB2312"/>
                      <w:sz w:val="21"/>
                    </w:rPr>
                    <w:t>(L/min)</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83</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液压马达额定工作转速（</w:t>
                  </w:r>
                  <w:r>
                    <w:rPr>
                      <w:rFonts w:ascii="仿宋_GB2312" w:hAnsi="仿宋_GB2312" w:cs="仿宋_GB2312" w:eastAsia="仿宋_GB2312"/>
                      <w:sz w:val="21"/>
                    </w:rPr>
                    <w:t>ml/r</w:t>
                  </w:r>
                  <w:r>
                    <w:rPr>
                      <w:rFonts w:ascii="仿宋_GB2312" w:hAnsi="仿宋_GB2312" w:cs="仿宋_GB2312" w:eastAsia="仿宋_GB2312"/>
                      <w:sz w:val="21"/>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300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清雪厚度（</w:t>
                  </w:r>
                  <w:r>
                    <w:rPr>
                      <w:rFonts w:ascii="仿宋_GB2312" w:hAnsi="仿宋_GB2312" w:cs="仿宋_GB2312" w:eastAsia="仿宋_GB2312"/>
                      <w:sz w:val="21"/>
                    </w:rPr>
                    <w:t>cm）</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刷毛工作环境温度（</w:t>
                  </w:r>
                  <w:r>
                    <w:rPr>
                      <w:rFonts w:ascii="仿宋_GB2312" w:hAnsi="仿宋_GB2312" w:cs="仿宋_GB2312" w:eastAsia="仿宋_GB2312"/>
                      <w:sz w:val="21"/>
                    </w:rPr>
                    <w:t>-</w:t>
                  </w:r>
                  <w:r>
                    <w:rPr>
                      <w:rFonts w:ascii="仿宋_GB2312" w:hAnsi="仿宋_GB2312" w:cs="仿宋_GB2312" w:eastAsia="仿宋_GB2312"/>
                      <w:sz w:val="21"/>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0°</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滚刷</w:t>
                  </w:r>
                  <w:r>
                    <w:rPr>
                      <w:rFonts w:ascii="仿宋_GB2312" w:hAnsi="仿宋_GB2312" w:cs="仿宋_GB2312" w:eastAsia="仿宋_GB2312"/>
                      <w:sz w:val="21"/>
                    </w:rPr>
                    <w:t>工作操</w:t>
                  </w:r>
                  <w:r>
                    <w:rPr>
                      <w:rFonts w:ascii="仿宋_GB2312" w:hAnsi="仿宋_GB2312" w:cs="仿宋_GB2312" w:eastAsia="仿宋_GB2312"/>
                      <w:sz w:val="21"/>
                    </w:rPr>
                    <w:t>纵</w:t>
                  </w:r>
                  <w:r>
                    <w:rPr>
                      <w:rFonts w:ascii="仿宋_GB2312" w:hAnsi="仿宋_GB2312" w:cs="仿宋_GB2312" w:eastAsia="仿宋_GB2312"/>
                      <w:sz w:val="21"/>
                    </w:rPr>
                    <w:t>方式</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液压先导式</w:t>
                  </w:r>
                  <w:r>
                    <w:rPr>
                      <w:rFonts w:ascii="仿宋_GB2312" w:hAnsi="仿宋_GB2312" w:cs="仿宋_GB2312" w:eastAsia="仿宋_GB2312"/>
                      <w:sz w:val="21"/>
                    </w:rPr>
                    <w:t>,单手柄操作,</w:t>
                  </w:r>
                  <w:r>
                    <w:rPr>
                      <w:rFonts w:ascii="仿宋_GB2312" w:hAnsi="仿宋_GB2312" w:cs="仿宋_GB2312" w:eastAsia="仿宋_GB2312"/>
                      <w:sz w:val="21"/>
                    </w:rPr>
                    <w:t>全液压驱动，取消电机液压站</w:t>
                  </w:r>
                </w:p>
              </w:tc>
            </w:tr>
            <w:tr>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适应路面不平整度（</w:t>
                  </w:r>
                  <w:r>
                    <w:rPr>
                      <w:rFonts w:ascii="仿宋_GB2312" w:hAnsi="仿宋_GB2312" w:cs="仿宋_GB2312" w:eastAsia="仿宋_GB2312"/>
                      <w:sz w:val="21"/>
                    </w:rPr>
                    <w:t>°）</w:t>
                  </w:r>
                </w:p>
              </w:tc>
              <w:tc>
                <w:tcPr>
                  <w:tcW w:type="dxa" w:w="1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r>
            <w:tr>
              <w:tc>
                <w:tcPr>
                  <w:tcW w:type="dxa" w:w="255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1"/>
                      <w:b/>
                      <w:color w:val="000000"/>
                    </w:rPr>
                    <w:t>一、合同履行期限、交货地点：</w:t>
                  </w:r>
                </w:p>
                <w:p>
                  <w:pPr>
                    <w:pStyle w:val="null3"/>
                    <w:ind w:firstLine="600"/>
                    <w:jc w:val="both"/>
                  </w:pPr>
                  <w:r>
                    <w:rPr>
                      <w:rFonts w:ascii="仿宋_GB2312" w:hAnsi="仿宋_GB2312" w:cs="仿宋_GB2312" w:eastAsia="仿宋_GB2312"/>
                      <w:sz w:val="21"/>
                      <w:color w:val="000000"/>
                    </w:rPr>
                    <w:t>合同履行期限：</w:t>
                  </w:r>
                  <w:r>
                    <w:rPr>
                      <w:rFonts w:ascii="仿宋_GB2312" w:hAnsi="仿宋_GB2312" w:cs="仿宋_GB2312" w:eastAsia="仿宋_GB2312"/>
                      <w:sz w:val="21"/>
                    </w:rPr>
                    <w:t>自合同签订之日起</w:t>
                  </w:r>
                  <w:r>
                    <w:rPr>
                      <w:rFonts w:ascii="仿宋_GB2312" w:hAnsi="仿宋_GB2312" w:cs="仿宋_GB2312" w:eastAsia="仿宋_GB2312"/>
                      <w:sz w:val="21"/>
                    </w:rPr>
                    <w:t>30个日历天</w:t>
                  </w:r>
                </w:p>
                <w:p>
                  <w:pPr>
                    <w:pStyle w:val="null3"/>
                    <w:ind w:firstLine="600"/>
                    <w:jc w:val="both"/>
                  </w:pPr>
                  <w:r>
                    <w:rPr>
                      <w:rFonts w:ascii="仿宋_GB2312" w:hAnsi="仿宋_GB2312" w:cs="仿宋_GB2312" w:eastAsia="仿宋_GB2312"/>
                      <w:sz w:val="21"/>
                      <w:color w:val="000000"/>
                    </w:rPr>
                    <w:t>交货地点：</w:t>
                  </w:r>
                  <w:r>
                    <w:rPr>
                      <w:rFonts w:ascii="仿宋_GB2312" w:hAnsi="仿宋_GB2312" w:cs="仿宋_GB2312" w:eastAsia="仿宋_GB2312"/>
                      <w:sz w:val="21"/>
                      <w:color w:val="000000"/>
                    </w:rPr>
                    <w:t>富平县环境卫生管理中心</w:t>
                  </w:r>
                  <w:r>
                    <w:rPr>
                      <w:rFonts w:ascii="仿宋_GB2312" w:hAnsi="仿宋_GB2312" w:cs="仿宋_GB2312" w:eastAsia="仿宋_GB2312"/>
                      <w:sz w:val="21"/>
                      <w:color w:val="000000"/>
                    </w:rPr>
                    <w:t>。</w:t>
                  </w:r>
                </w:p>
                <w:p>
                  <w:pPr>
                    <w:pStyle w:val="null3"/>
                    <w:ind w:firstLine="482"/>
                    <w:jc w:val="both"/>
                  </w:pPr>
                  <w:r>
                    <w:rPr>
                      <w:rFonts w:ascii="仿宋_GB2312" w:hAnsi="仿宋_GB2312" w:cs="仿宋_GB2312" w:eastAsia="仿宋_GB2312"/>
                      <w:sz w:val="21"/>
                      <w:b/>
                      <w:color w:val="000000"/>
                    </w:rPr>
                    <w:t>二、其他要求：</w:t>
                  </w:r>
                </w:p>
                <w:p>
                  <w:pPr>
                    <w:pStyle w:val="null3"/>
                    <w:ind w:firstLine="590"/>
                    <w:jc w:val="both"/>
                  </w:pPr>
                  <w:r>
                    <w:rPr>
                      <w:rFonts w:ascii="仿宋_GB2312" w:hAnsi="仿宋_GB2312" w:cs="仿宋_GB2312" w:eastAsia="仿宋_GB2312"/>
                      <w:sz w:val="21"/>
                      <w:color w:val="000000"/>
                    </w:rPr>
                    <w:t>1.包装：应采取防潮、防晒、防腐蚀、防震动及防止其它损坏的必要措施。中标单位应承担由于其包装或防护措施不妥而引起的货物锈蚀、损坏和丢失等任何损失造成的责任或费用。确保货物设备包装符合国家运输标准，确保设备在运输过程中不受损坏。</w:t>
                  </w:r>
                </w:p>
                <w:p>
                  <w:pPr>
                    <w:pStyle w:val="null3"/>
                    <w:ind w:firstLine="590"/>
                    <w:jc w:val="both"/>
                  </w:pPr>
                  <w:r>
                    <w:rPr>
                      <w:rFonts w:ascii="仿宋_GB2312" w:hAnsi="仿宋_GB2312" w:cs="仿宋_GB2312" w:eastAsia="仿宋_GB2312"/>
                      <w:sz w:val="21"/>
                      <w:color w:val="000000"/>
                    </w:rPr>
                    <w:t>2.运输：选择安全、可靠的运输方式，确保货物设备按时、完好地送达指定地点。</w:t>
                  </w:r>
                </w:p>
                <w:p>
                  <w:pPr>
                    <w:pStyle w:val="null3"/>
                    <w:ind w:firstLine="590"/>
                    <w:jc w:val="both"/>
                  </w:pPr>
                  <w:r>
                    <w:rPr>
                      <w:rFonts w:ascii="仿宋_GB2312" w:hAnsi="仿宋_GB2312" w:cs="仿宋_GB2312" w:eastAsia="仿宋_GB2312"/>
                      <w:sz w:val="21"/>
                      <w:color w:val="000000"/>
                    </w:rPr>
                    <w:t>3.安装、调试及培训：中标单位负责所有货物设备的安装、调试、培训工作。设备安装调试完毕后，中标单位必须安排技术人员对使用单位的设备管理人员进行操作应用及维护保养方面的技能培训，使其掌握基本技能。</w:t>
                  </w:r>
                </w:p>
                <w:p>
                  <w:pPr>
                    <w:pStyle w:val="null3"/>
                    <w:ind w:firstLine="590"/>
                    <w:jc w:val="both"/>
                  </w:pPr>
                  <w:r>
                    <w:rPr>
                      <w:rFonts w:ascii="仿宋_GB2312" w:hAnsi="仿宋_GB2312" w:cs="仿宋_GB2312" w:eastAsia="仿宋_GB2312"/>
                      <w:sz w:val="21"/>
                      <w:color w:val="000000"/>
                    </w:rPr>
                    <w:t>4.人员配置:为保障本项目顺利实施，供应商应安排专业人员对接项目交付、安装调试、并配合验收工作、培训以及售后保障等相关事宜。</w:t>
                  </w:r>
                </w:p>
                <w:p>
                  <w:pPr>
                    <w:pStyle w:val="null3"/>
                    <w:ind w:firstLine="590"/>
                    <w:jc w:val="both"/>
                  </w:pPr>
                  <w:r>
                    <w:rPr>
                      <w:rFonts w:ascii="仿宋_GB2312" w:hAnsi="仿宋_GB2312" w:cs="仿宋_GB2312" w:eastAsia="仿宋_GB2312"/>
                      <w:sz w:val="21"/>
                      <w:b/>
                      <w:color w:val="000000"/>
                    </w:rPr>
                    <w:t>三、质保期</w:t>
                  </w:r>
                  <w:r>
                    <w:rPr>
                      <w:rFonts w:ascii="仿宋_GB2312" w:hAnsi="仿宋_GB2312" w:cs="仿宋_GB2312" w:eastAsia="仿宋_GB2312"/>
                      <w:sz w:val="21"/>
                      <w:b/>
                      <w:color w:val="000000"/>
                    </w:rPr>
                    <w:t>：</w:t>
                  </w:r>
                </w:p>
                <w:p>
                  <w:pPr>
                    <w:pStyle w:val="null3"/>
                    <w:ind w:firstLine="590"/>
                    <w:jc w:val="both"/>
                  </w:pPr>
                  <w:r>
                    <w:rPr>
                      <w:rFonts w:ascii="仿宋_GB2312" w:hAnsi="仿宋_GB2312" w:cs="仿宋_GB2312" w:eastAsia="仿宋_GB2312"/>
                      <w:sz w:val="21"/>
                      <w:color w:val="000000"/>
                    </w:rPr>
                    <w:t>交付验收合格后整车质保</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w:t>
                  </w:r>
                </w:p>
                <w:p>
                  <w:pPr>
                    <w:pStyle w:val="null3"/>
                    <w:ind w:firstLine="590"/>
                    <w:jc w:val="both"/>
                  </w:pPr>
                  <w:r>
                    <w:rPr>
                      <w:rFonts w:ascii="仿宋_GB2312" w:hAnsi="仿宋_GB2312" w:cs="仿宋_GB2312" w:eastAsia="仿宋_GB2312"/>
                      <w:sz w:val="21"/>
                      <w:b/>
                      <w:color w:val="000000"/>
                    </w:rPr>
                    <w:t>四、售后服务：</w:t>
                  </w:r>
                </w:p>
                <w:p>
                  <w:pPr>
                    <w:pStyle w:val="null3"/>
                    <w:ind w:firstLine="590"/>
                    <w:jc w:val="both"/>
                  </w:pPr>
                  <w:r>
                    <w:rPr>
                      <w:rFonts w:ascii="仿宋_GB2312" w:hAnsi="仿宋_GB2312" w:cs="仿宋_GB2312" w:eastAsia="仿宋_GB2312"/>
                      <w:sz w:val="21"/>
                      <w:color w:val="000000"/>
                    </w:rPr>
                    <w:t>1、投标供应商提供固定的服务机构的办公场地、维修车间（包含但不限于产权证明或租赁合同复印件）。供应商非制造商或车辆维修企业的，须提供合作协议。</w:t>
                  </w:r>
                </w:p>
                <w:p>
                  <w:pPr>
                    <w:pStyle w:val="null3"/>
                    <w:ind w:firstLine="590"/>
                    <w:jc w:val="both"/>
                  </w:pPr>
                  <w:r>
                    <w:rPr>
                      <w:rFonts w:ascii="仿宋_GB2312" w:hAnsi="仿宋_GB2312" w:cs="仿宋_GB2312" w:eastAsia="仿宋_GB2312"/>
                      <w:sz w:val="21"/>
                      <w:color w:val="000000"/>
                    </w:rPr>
                    <w:t>2、提供7×24小时免费维修电话，故障维修等服务到场时间不超过2小时，须提供承诺书。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自合同签订之日起30个日历天。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富平县环境卫生管理中心</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所有车辆交付完成并经采购人验收合格后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对项目进行整体验收，供应商协助配合。其内容包括确认产品的产地、规格、型号和数量，对其产品技术指标、性能参数、样式、颜色、以及质量是否达到现行国家有关验收规范“合格”标准、是否按照采购人要求安装到位、是否按照甲方要求进行调试和提供相关培训、是否在规定时间内安装完毕、所有产品的配套包装是否完好无损等进行逐项检查。</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质保1年；（若供应商提供的质保期超过招标文件要求的，执行其响应时间，若国家有明确规定且高于此质保期的，执行国家规定）。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 2、中标通知书发出后，中标供应商须向采购人提交投标文件纸质版贰份（纸质版响应文件与电子版响应文件保持一致）。 3、采购文件2.6.1内容为电子化交易系统采购文件模板，无法修改。根据陕西省财政厅关于持续优化政府采购营商环境有关事项的通知--陕财办采〔2024〕9 号的要求，采购人应在中标(成交)通知书发出之日起25日内，按照采购文件确定的事项与中标(成交)供应商签订政府采购合同。 4、供应商在采购活动中违反相关法律法规，要承担因此而产生的责任。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供应商为合法注册的法人、其他组织或自然人，提供营业执照等证明文件。</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提供具有履行本合同所必需的设备和专业技术能力的声明或承诺。</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供应商应提供的相关资格证明材料.docx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以投标截止日当天代理机构查询结果为准）。</w:t>
            </w:r>
          </w:p>
        </w:tc>
        <w:tc>
          <w:tcPr>
            <w:tcW w:type="dxa" w:w="1661"/>
          </w:tcPr>
          <w:p>
            <w:pPr>
              <w:pStyle w:val="null3"/>
            </w:pPr>
            <w:r>
              <w:rPr>
                <w:rFonts w:ascii="仿宋_GB2312" w:hAnsi="仿宋_GB2312" w:cs="仿宋_GB2312" w:eastAsia="仿宋_GB2312"/>
              </w:rPr>
              <w:t>供应商应提供的相关资格证明材料.docx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本采购包非专门面向中小企业采购。</w:t>
            </w:r>
          </w:p>
        </w:tc>
        <w:tc>
          <w:tcPr>
            <w:tcW w:type="dxa" w:w="3322"/>
          </w:tcPr>
          <w:p>
            <w:pPr>
              <w:pStyle w:val="null3"/>
            </w:pPr>
            <w:r>
              <w:rPr>
                <w:rFonts w:ascii="仿宋_GB2312" w:hAnsi="仿宋_GB2312" w:cs="仿宋_GB2312" w:eastAsia="仿宋_GB2312"/>
              </w:rPr>
              <w:t>参与的供应商服务全部由符合政策要求的大中小企业承接。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（1）报价符合唯一性要求；（2）未超出采购预算或最高限价。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没有出现法律法规或招标文件明确规定的其他被视为“无效投标”的情形及未实质性响应招标文件的情况。</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产品选型及技术参数</w:t>
            </w:r>
          </w:p>
        </w:tc>
        <w:tc>
          <w:tcPr>
            <w:tcW w:type="dxa" w:w="2492"/>
          </w:tcPr>
          <w:p>
            <w:pPr>
              <w:pStyle w:val="null3"/>
            </w:pPr>
            <w:r>
              <w:rPr>
                <w:rFonts w:ascii="仿宋_GB2312" w:hAnsi="仿宋_GB2312" w:cs="仿宋_GB2312" w:eastAsia="仿宋_GB2312"/>
              </w:rPr>
              <w:t>依据各供应商所投产品的参数、性能等情况，与招标文件采购内容及要求的参数、性能要求比较后的响应程度赋分，满分15分。供应商所投产品的参数中每有一项负偏离扣0.5分。扣完为止，不计负分。 备注：供应商须提供相应的证明材料（证明材料不限于产品宣传彩页或检测报告等），否则自行承担未提供证明材料导致参数及性能被视为负偏离的风险。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1、根据投标人提供的投标产品的技术资料（包括但不限于认证证书或产品宣传彩页或检测报告或官网功能截图等）的完整性进行打分。 产品技术资料完整，功能内容详细，得5分； 产品技术资料较为完整，功能内容较为详细，得4分； 产品技术资料基本完整，能体现基本功能内容，得3分； 产品技术资料基本完整，基本功能内容体现不全，得2分； 产品技术资料不完整，无法提现基本功能，得1分；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投标人提供的实施方案进行综合比较。包含但不限于以下内容：①人员配置方案；②项目进度安排；③安装调试方案；④操作培训方案；⑤组织协调措施及质量保证方案；⑥产品质量保证方案。对以上6项内容分别进行评审，评审标准如下： 方案全面、合理、规范，可操作性强得5分； 方案比较合理和规范，有较强的可操作性得4分； 方案相对合理和规范，有相对较强的可操作性得3分； 方案基本合理，有一定的可操作性得2分； 方案基本合理，可操作性不强得1； 未提供相关内容不得分。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根据投标人提供的本项目可能出现的各类突发情况提供的应急解决方案进行综合比较。 方案全面、合理、规范，可操作性强得5分； 方案比较合理和规范，有较强的可操作性得4分； 方案基本合理，有一定的可操作性得3分； 方案基本合理，可操作性不强得2分；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根据投标人提供的售后服务方案进行综合比较。 包含但不限于以下内容：①售后服务范围（包含但不限于故障排除和维修保养、售后服务流程、调换货和退换货售后服务等）；②售后服务人员安排；③售后服务响应时间与处理时间；④售后服务内容和操作流程；⑤售后服务方式及售后服务质量保证措施。 对以上5项内容分别进行评审，评审标准如下：方案全面、合理、规范，可操作性强得3分； 方案比较合理和规范，有较强的可操作性得2分； 方案基本合理，可操作性不强得1分； 未提供相关内容不得分。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