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72286">
      <w:pPr>
        <w:jc w:val="center"/>
        <w:rPr>
          <w:rFonts w:hint="eastAsia"/>
          <w:b/>
          <w:sz w:val="36"/>
        </w:rPr>
      </w:pPr>
      <w:r>
        <w:rPr>
          <w:b/>
          <w:sz w:val="36"/>
        </w:rPr>
        <w:t>服务内容</w:t>
      </w:r>
    </w:p>
    <w:p w14:paraId="70A24B14">
      <w:pPr>
        <w:spacing w:line="480" w:lineRule="auto"/>
        <w:rPr>
          <w:rFonts w:hint="eastAsia" w:ascii="宋体" w:hAnsi="宋体" w:eastAsia="宋体" w:cs="宋体"/>
        </w:rPr>
      </w:pPr>
      <w:r>
        <w:rPr>
          <w:rFonts w:hint="eastAsia" w:ascii="宋体" w:hAnsi="宋体" w:eastAsia="宋体" w:cs="宋体"/>
        </w:rPr>
        <w:t>1.永久基本农田现状情况摸排工作：</w:t>
      </w:r>
    </w:p>
    <w:p w14:paraId="3C900938">
      <w:pPr>
        <w:pStyle w:val="21"/>
        <w:numPr>
          <w:ilvl w:val="0"/>
          <w:numId w:val="1"/>
        </w:numPr>
        <w:spacing w:after="0" w:line="480" w:lineRule="auto"/>
        <w:ind w:left="0" w:firstLine="560" w:firstLineChars="200"/>
        <w:rPr>
          <w:rFonts w:hint="eastAsia" w:ascii="宋体" w:hAnsi="宋体" w:eastAsia="宋体" w:cs="宋体"/>
          <w:szCs w:val="28"/>
        </w:rPr>
      </w:pPr>
      <w:r>
        <w:rPr>
          <w:rFonts w:hint="eastAsia" w:ascii="宋体" w:hAnsi="宋体" w:eastAsia="宋体" w:cs="宋体"/>
          <w:szCs w:val="28"/>
        </w:rPr>
        <w:t>技术要求：</w:t>
      </w:r>
    </w:p>
    <w:p w14:paraId="2061AE86">
      <w:pPr>
        <w:pStyle w:val="21"/>
        <w:numPr>
          <w:ilvl w:val="0"/>
          <w:numId w:val="2"/>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数据基础与坐标系统：</w:t>
      </w:r>
      <w:r>
        <w:rPr>
          <w:rFonts w:hint="eastAsia" w:ascii="宋体" w:hAnsi="宋体" w:eastAsia="宋体" w:cs="宋体"/>
          <w:color w:val="0F1115"/>
          <w:kern w:val="0"/>
          <w:szCs w:val="28"/>
        </w:rPr>
        <w:t>所有工作必须以最新年度国土变更调查成果为统一底板；空间数据坐标系统一采用“2000国家大地坐标系（CGCS2000）”，高程系统采用“1985国家高程基准”。</w:t>
      </w:r>
    </w:p>
    <w:p w14:paraId="69F8C8A1">
      <w:pPr>
        <w:pStyle w:val="21"/>
        <w:numPr>
          <w:ilvl w:val="0"/>
          <w:numId w:val="2"/>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内业判读与图斑提取：</w:t>
      </w:r>
      <w:r>
        <w:rPr>
          <w:rFonts w:hint="eastAsia" w:ascii="宋体" w:hAnsi="宋体" w:eastAsia="宋体" w:cs="宋体"/>
          <w:color w:val="0F1115"/>
          <w:kern w:val="0"/>
          <w:szCs w:val="28"/>
        </w:rPr>
        <w:t>需采用最新高分辨率遥感影像进行内业初步判读；准确提取疑似“非农化”、“非粮化”及“难以稳定利用”的永久基本农田图斑，并初步分类，作为外业核查的基础。</w:t>
      </w:r>
    </w:p>
    <w:p w14:paraId="21811337">
      <w:pPr>
        <w:pStyle w:val="21"/>
        <w:numPr>
          <w:ilvl w:val="0"/>
          <w:numId w:val="2"/>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外业实地核查：</w:t>
      </w:r>
      <w:r>
        <w:rPr>
          <w:rFonts w:hint="eastAsia" w:ascii="宋体" w:hAnsi="宋体" w:eastAsia="宋体" w:cs="宋体"/>
          <w:color w:val="0F1115"/>
          <w:kern w:val="0"/>
          <w:szCs w:val="28"/>
        </w:rPr>
        <w:t>对内业提取的所有疑似问题图斑须进行100%外业实地核查，核实现状地类、实际用途、范围边界及问题成因。</w:t>
      </w:r>
    </w:p>
    <w:p w14:paraId="09FFFD90">
      <w:pPr>
        <w:pStyle w:val="21"/>
        <w:numPr>
          <w:ilvl w:val="0"/>
          <w:numId w:val="2"/>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数据库建设：</w:t>
      </w:r>
      <w:r>
        <w:rPr>
          <w:rFonts w:hint="eastAsia" w:ascii="宋体" w:hAnsi="宋体" w:eastAsia="宋体" w:cs="宋体"/>
          <w:color w:val="0F1115"/>
          <w:kern w:val="0"/>
          <w:szCs w:val="28"/>
        </w:rPr>
        <w:t>构建标准的永久基本农田现状情况摸排空间数据库，图层、属性表结构须与省级要求完全一致；对每个问题图斑须进行精准分类和唯一编码，属性信息填写完整、准确，包括但不限于位置、面积、现状地类、问题类型、划定依据等。</w:t>
      </w:r>
    </w:p>
    <w:p w14:paraId="30FED550">
      <w:pPr>
        <w:pStyle w:val="21"/>
        <w:numPr>
          <w:ilvl w:val="0"/>
          <w:numId w:val="2"/>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补划潜力评估：</w:t>
      </w:r>
      <w:r>
        <w:rPr>
          <w:rFonts w:hint="eastAsia" w:ascii="宋体" w:hAnsi="宋体" w:eastAsia="宋体" w:cs="宋体"/>
          <w:color w:val="0F1115"/>
          <w:kern w:val="0"/>
          <w:szCs w:val="28"/>
        </w:rPr>
        <w:t>对永久基本农田范围外、现状为耕地的地块，需从集中连片度、坡度、耕地质量等级、与现状永久基本农田的毗邻关系、基础设施条件等方面进行综合分析评估，科学筛选出符合条件的补划潜力地块。</w:t>
      </w:r>
    </w:p>
    <w:p w14:paraId="4423B937">
      <w:pPr>
        <w:pStyle w:val="21"/>
        <w:numPr>
          <w:ilvl w:val="0"/>
          <w:numId w:val="2"/>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成果审核：</w:t>
      </w:r>
      <w:r>
        <w:rPr>
          <w:rFonts w:hint="eastAsia" w:ascii="宋体" w:hAnsi="宋体" w:eastAsia="宋体" w:cs="宋体"/>
          <w:szCs w:val="28"/>
        </w:rPr>
        <w:t>配合完成省市级成果审核，根据反馈意见及时修改完善。</w:t>
      </w:r>
    </w:p>
    <w:p w14:paraId="09474BCB">
      <w:pPr>
        <w:pStyle w:val="21"/>
        <w:numPr>
          <w:ilvl w:val="0"/>
          <w:numId w:val="1"/>
        </w:numPr>
        <w:spacing w:after="0" w:line="480" w:lineRule="auto"/>
        <w:ind w:left="0" w:firstLine="560" w:firstLineChars="200"/>
        <w:rPr>
          <w:rFonts w:hint="eastAsia" w:ascii="宋体" w:hAnsi="宋体" w:eastAsia="宋体" w:cs="宋体"/>
          <w:szCs w:val="28"/>
        </w:rPr>
      </w:pPr>
      <w:r>
        <w:rPr>
          <w:rFonts w:hint="eastAsia" w:ascii="宋体" w:hAnsi="宋体" w:eastAsia="宋体" w:cs="宋体"/>
          <w:szCs w:val="28"/>
        </w:rPr>
        <w:t>验收标准</w:t>
      </w:r>
    </w:p>
    <w:p w14:paraId="30373797">
      <w:pPr>
        <w:pStyle w:val="21"/>
        <w:numPr>
          <w:ilvl w:val="0"/>
          <w:numId w:val="3"/>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数据完整性：</w:t>
      </w:r>
      <w:r>
        <w:rPr>
          <w:rFonts w:hint="eastAsia" w:ascii="宋体" w:hAnsi="宋体" w:eastAsia="宋体" w:cs="宋体"/>
          <w:color w:val="0F1115"/>
          <w:kern w:val="0"/>
          <w:szCs w:val="28"/>
        </w:rPr>
        <w:t>核查所有要求提交的成果（数据库、表格）是否齐全，无遗漏；数据库图层、字段完整，图斑无重复、无遗漏，逻辑关系正确；，数据库结构符合省级汇交要求。</w:t>
      </w:r>
    </w:p>
    <w:p w14:paraId="548728A2">
      <w:pPr>
        <w:pStyle w:val="21"/>
        <w:numPr>
          <w:ilvl w:val="0"/>
          <w:numId w:val="3"/>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数据准确性：</w:t>
      </w:r>
      <w:r>
        <w:rPr>
          <w:rFonts w:hint="eastAsia" w:ascii="宋体" w:hAnsi="宋体" w:eastAsia="宋体" w:cs="宋体"/>
          <w:color w:val="0F1115"/>
          <w:kern w:val="0"/>
          <w:szCs w:val="28"/>
        </w:rPr>
        <w:t>摸排报告、统计表格中的数据与数据库汇总数据必须完全一致，逻辑关系清晰，无相互矛盾。</w:t>
      </w:r>
    </w:p>
    <w:p w14:paraId="4562F349">
      <w:pPr>
        <w:pStyle w:val="21"/>
        <w:numPr>
          <w:ilvl w:val="0"/>
          <w:numId w:val="3"/>
        </w:numPr>
        <w:spacing w:after="0" w:line="480" w:lineRule="auto"/>
        <w:ind w:left="0" w:firstLine="560" w:firstLineChars="200"/>
        <w:rPr>
          <w:rFonts w:hint="eastAsia" w:ascii="宋体" w:hAnsi="宋体" w:eastAsia="宋体" w:cs="宋体"/>
          <w:szCs w:val="28"/>
        </w:rPr>
      </w:pPr>
      <w:r>
        <w:rPr>
          <w:rFonts w:hint="eastAsia" w:ascii="宋体" w:hAnsi="宋体" w:eastAsia="宋体" w:cs="宋体"/>
          <w:bCs/>
          <w:color w:val="0F1115"/>
          <w:kern w:val="0"/>
          <w:szCs w:val="28"/>
        </w:rPr>
        <w:t>工作规范性：</w:t>
      </w:r>
      <w:r>
        <w:rPr>
          <w:rFonts w:hint="eastAsia" w:ascii="宋体" w:hAnsi="宋体" w:eastAsia="宋体" w:cs="宋体"/>
          <w:color w:val="0F1115"/>
          <w:kern w:val="0"/>
          <w:szCs w:val="28"/>
        </w:rPr>
        <w:t>检查项目组织实施过程的规范性，包括数据安全与保密管理等资料是否齐全、合规。</w:t>
      </w:r>
    </w:p>
    <w:p w14:paraId="6835DE9C">
      <w:pPr>
        <w:pStyle w:val="21"/>
        <w:numPr>
          <w:ilvl w:val="0"/>
          <w:numId w:val="1"/>
        </w:numPr>
        <w:spacing w:after="0" w:line="480" w:lineRule="auto"/>
        <w:ind w:left="0" w:firstLine="560" w:firstLineChars="200"/>
        <w:rPr>
          <w:rFonts w:hint="eastAsia" w:ascii="宋体" w:hAnsi="宋体" w:eastAsia="宋体" w:cs="宋体"/>
          <w:szCs w:val="28"/>
        </w:rPr>
      </w:pPr>
      <w:r>
        <w:rPr>
          <w:rFonts w:hint="eastAsia" w:ascii="宋体" w:hAnsi="宋体" w:eastAsia="宋体" w:cs="宋体"/>
          <w:szCs w:val="28"/>
        </w:rPr>
        <w:t>成果提交要求</w:t>
      </w:r>
    </w:p>
    <w:p w14:paraId="0815DF6B">
      <w:pPr>
        <w:spacing w:after="0" w:line="480" w:lineRule="auto"/>
        <w:ind w:firstLine="560" w:firstLineChars="200"/>
        <w:rPr>
          <w:rFonts w:hint="eastAsia" w:ascii="宋体" w:hAnsi="宋体" w:eastAsia="宋体" w:cs="宋体"/>
          <w:color w:val="0F1115"/>
          <w:kern w:val="0"/>
          <w:szCs w:val="28"/>
        </w:rPr>
      </w:pPr>
      <w:r>
        <w:rPr>
          <w:rFonts w:hint="eastAsia" w:ascii="宋体" w:hAnsi="宋体" w:eastAsia="宋体" w:cs="宋体"/>
          <w:color w:val="0F1115"/>
          <w:kern w:val="0"/>
          <w:szCs w:val="28"/>
        </w:rPr>
        <w:t>中标人须在规定时间内提交成果（电子数据成果：摸排数据库、统计表格），所有成果均需通过采购人最终审核确认：电子数据成果：摸排数据库、统计表格。</w:t>
      </w:r>
    </w:p>
    <w:p w14:paraId="5CAB8E55">
      <w:pPr>
        <w:spacing w:line="480" w:lineRule="auto"/>
        <w:rPr>
          <w:rFonts w:hint="eastAsia" w:ascii="宋体" w:hAnsi="宋体" w:eastAsia="宋体" w:cs="宋体"/>
          <w:color w:val="0F1115"/>
          <w:kern w:val="0"/>
          <w:sz w:val="24"/>
        </w:rPr>
      </w:pPr>
      <w:r>
        <w:rPr>
          <w:rFonts w:hint="eastAsia" w:ascii="宋体" w:hAnsi="宋体" w:eastAsia="宋体" w:cs="宋体"/>
          <w:color w:val="0F1115"/>
          <w:kern w:val="0"/>
          <w:sz w:val="24"/>
        </w:rPr>
        <w:br w:type="page"/>
      </w:r>
    </w:p>
    <w:p w14:paraId="38C5C7BA">
      <w:pPr>
        <w:spacing w:after="0" w:line="480" w:lineRule="auto"/>
        <w:rPr>
          <w:rFonts w:hint="eastAsia" w:ascii="宋体" w:hAnsi="宋体" w:eastAsia="宋体" w:cs="宋体"/>
        </w:rPr>
      </w:pPr>
      <w:r>
        <w:rPr>
          <w:rFonts w:hint="eastAsia" w:ascii="宋体" w:hAnsi="宋体" w:eastAsia="宋体" w:cs="宋体"/>
          <w:color w:val="0F1115"/>
          <w:kern w:val="0"/>
          <w:sz w:val="24"/>
        </w:rPr>
        <w:t>2.</w:t>
      </w:r>
      <w:r>
        <w:rPr>
          <w:rFonts w:hint="eastAsia" w:ascii="宋体" w:hAnsi="宋体" w:eastAsia="宋体" w:cs="宋体"/>
        </w:rPr>
        <w:t xml:space="preserve"> 永久基本农田储备库建立工作：</w:t>
      </w:r>
    </w:p>
    <w:p w14:paraId="18B360AC">
      <w:pPr>
        <w:pStyle w:val="21"/>
        <w:numPr>
          <w:ilvl w:val="0"/>
          <w:numId w:val="4"/>
        </w:numPr>
        <w:spacing w:after="0" w:line="480" w:lineRule="auto"/>
        <w:ind w:left="0" w:firstLine="560" w:firstLineChars="200"/>
        <w:rPr>
          <w:rFonts w:hint="eastAsia" w:ascii="宋体" w:hAnsi="宋体" w:eastAsia="宋体" w:cs="宋体"/>
        </w:rPr>
      </w:pPr>
      <w:r>
        <w:rPr>
          <w:rStyle w:val="14"/>
          <w:rFonts w:hint="eastAsia" w:ascii="宋体" w:hAnsi="宋体" w:eastAsia="宋体" w:cs="宋体"/>
          <w:b w:val="0"/>
          <w:color w:val="0F1115"/>
        </w:rPr>
        <w:t>技术要求：</w:t>
      </w:r>
      <w:r>
        <w:rPr>
          <w:rFonts w:hint="eastAsia" w:ascii="宋体" w:hAnsi="宋体" w:eastAsia="宋体" w:cs="宋体"/>
          <w:color w:val="0F1115"/>
        </w:rPr>
        <w:t>数据应采用2024年度国土变更调查初步成果及永久基本农田核实处置成果作为统一底板；储备库潜力分析须采用空间分析与影像解译相结合的方法，叠加生态保护红线、高标准农田、行业管理等数据综合判定；外业核查须使用陕西自然资源调查监测云平台，配备专业测绘设备，逐地块采集带坐标现场照片，确保核查真实性；数据库建设须严格遵循《国土调查数据库标准》及《永久基本农田储备库图层属性结构描述表》要求；储备库耕地质量须达到当地高标准农田标准，集中连片面积关中地区不低于10亩。</w:t>
      </w:r>
    </w:p>
    <w:p w14:paraId="209E0EBA">
      <w:pPr>
        <w:pStyle w:val="21"/>
        <w:numPr>
          <w:ilvl w:val="0"/>
          <w:numId w:val="4"/>
        </w:numPr>
        <w:spacing w:after="0" w:line="480" w:lineRule="auto"/>
        <w:ind w:left="0" w:firstLine="560" w:firstLineChars="200"/>
        <w:rPr>
          <w:rFonts w:hint="eastAsia" w:ascii="宋体" w:hAnsi="宋体" w:eastAsia="宋体" w:cs="宋体"/>
        </w:rPr>
      </w:pPr>
      <w:r>
        <w:rPr>
          <w:rStyle w:val="14"/>
          <w:rFonts w:hint="eastAsia" w:ascii="宋体" w:hAnsi="宋体" w:eastAsia="宋体" w:cs="宋体"/>
          <w:b w:val="0"/>
          <w:color w:val="0F1115"/>
        </w:rPr>
        <w:t>验收标准：a)数据完整性：储备库图斑无遗漏，属性信息完整，数据库结构符合省级汇交要求；b)</w:t>
      </w:r>
      <w:r>
        <w:rPr>
          <w:rFonts w:hint="eastAsia" w:ascii="宋体" w:hAnsi="宋体" w:eastAsia="宋体" w:cs="宋体"/>
          <w:color w:val="0F1115"/>
        </w:rPr>
        <w:t xml:space="preserve"> 准确性：内业判读与外业核查一致率不低于95%，地块划入理由充分、分类准确；c) 规范性：建立方案、统计表、自查报告等内容完整、格式规范，图件要素齐全；d) 时效性：所有成果须在规定时间内提交，并通过县级自查。</w:t>
      </w:r>
    </w:p>
    <w:p w14:paraId="279B2670">
      <w:pPr>
        <w:pStyle w:val="21"/>
        <w:numPr>
          <w:ilvl w:val="0"/>
          <w:numId w:val="4"/>
        </w:numPr>
        <w:spacing w:after="0" w:line="480" w:lineRule="auto"/>
        <w:ind w:left="0" w:firstLine="560" w:firstLineChars="200"/>
        <w:rPr>
          <w:rFonts w:hint="eastAsia" w:ascii="宋体" w:hAnsi="宋体" w:eastAsia="宋体" w:cs="宋体"/>
          <w:color w:val="0F1115"/>
        </w:rPr>
      </w:pPr>
      <w:r>
        <w:rPr>
          <w:rStyle w:val="14"/>
          <w:rFonts w:hint="eastAsia" w:ascii="宋体" w:hAnsi="宋体" w:eastAsia="宋体" w:cs="宋体"/>
          <w:b w:val="0"/>
          <w:color w:val="0F1115"/>
        </w:rPr>
        <w:t>成果提交标准：</w:t>
      </w:r>
      <w:r>
        <w:rPr>
          <w:rFonts w:hint="eastAsia" w:ascii="宋体" w:hAnsi="宋体" w:eastAsia="宋体" w:cs="宋体"/>
          <w:color w:val="0F1115"/>
        </w:rPr>
        <w:t>永久基本农田储备库数据库、《富平县永久基本农田储备库建立方案》、《富平县永久基本农田储备库分类型统计表》、《富平县永久基本农田储备库成果自检报告》；《富平县永久基本农田储备库建立工作总结报告》、《富平县关于报送建立永久基本农田储备库工作成果的函》、《富平县农业农村局质量鉴定报告》。</w:t>
      </w:r>
    </w:p>
    <w:p w14:paraId="52C3FC58">
      <w:pPr>
        <w:spacing w:line="480" w:lineRule="auto"/>
        <w:rPr>
          <w:rFonts w:hint="eastAsia" w:ascii="宋体" w:hAnsi="宋体" w:eastAsia="宋体" w:cs="宋体"/>
          <w:color w:val="0F1115"/>
          <w:szCs w:val="22"/>
        </w:rPr>
      </w:pPr>
      <w:r>
        <w:rPr>
          <w:rFonts w:hint="eastAsia" w:ascii="宋体" w:hAnsi="宋体" w:eastAsia="宋体" w:cs="宋体"/>
          <w:color w:val="0F1115"/>
        </w:rPr>
        <w:br w:type="page"/>
      </w:r>
    </w:p>
    <w:p w14:paraId="1D89FD46">
      <w:pPr>
        <w:spacing w:after="0" w:line="480" w:lineRule="auto"/>
        <w:rPr>
          <w:rFonts w:hint="eastAsia" w:ascii="宋体" w:hAnsi="宋体" w:eastAsia="宋体" w:cs="宋体"/>
        </w:rPr>
      </w:pPr>
      <w:r>
        <w:rPr>
          <w:rFonts w:hint="eastAsia" w:ascii="宋体" w:hAnsi="宋体" w:eastAsia="宋体" w:cs="宋体"/>
        </w:rPr>
        <w:t>3.耕地种植情况摸底工作：</w:t>
      </w:r>
    </w:p>
    <w:p w14:paraId="56207933">
      <w:pPr>
        <w:spacing w:after="0" w:line="480" w:lineRule="auto"/>
        <w:rPr>
          <w:rFonts w:hint="eastAsia" w:ascii="宋体" w:hAnsi="宋体" w:eastAsia="宋体" w:cs="宋体"/>
          <w:color w:val="0F1115"/>
        </w:rPr>
      </w:pPr>
      <w:r>
        <w:rPr>
          <w:rFonts w:hint="eastAsia" w:ascii="宋体" w:hAnsi="宋体" w:eastAsia="宋体" w:cs="宋体"/>
          <w:color w:val="0F1115"/>
        </w:rPr>
        <w:t>投标人须严格按照中省市关于耕地种植情况摸底工作的部署，结合富平县农业种植实际，完成以下服务内容：</w:t>
      </w:r>
    </w:p>
    <w:p w14:paraId="1D6DBDF1">
      <w:pPr>
        <w:spacing w:after="0" w:line="480" w:lineRule="auto"/>
        <w:rPr>
          <w:rFonts w:hint="eastAsia" w:ascii="宋体" w:hAnsi="宋体" w:eastAsia="宋体" w:cs="宋体"/>
        </w:rPr>
      </w:pPr>
      <w:r>
        <w:rPr>
          <w:rFonts w:hint="eastAsia" w:ascii="宋体" w:hAnsi="宋体" w:eastAsia="宋体" w:cs="宋体"/>
        </w:rPr>
        <w:t>（一）耕地种植情况全面摸底</w:t>
      </w:r>
    </w:p>
    <w:p w14:paraId="57480862">
      <w:pPr>
        <w:spacing w:after="0" w:line="48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ab/>
      </w:r>
      <w:r>
        <w:rPr>
          <w:rFonts w:hint="eastAsia" w:ascii="宋体" w:hAnsi="宋体" w:eastAsia="宋体" w:cs="宋体"/>
        </w:rPr>
        <w:t>以2024年度国土变更调查成果为底图，全面核查县域内耕地上种植的非乔木类中药材、浅根系水果及花卉等情况。</w:t>
      </w:r>
    </w:p>
    <w:p w14:paraId="77FA1869">
      <w:pPr>
        <w:spacing w:after="0" w:line="48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ab/>
      </w:r>
      <w:r>
        <w:rPr>
          <w:rFonts w:hint="eastAsia" w:ascii="宋体" w:hAnsi="宋体" w:eastAsia="宋体" w:cs="宋体"/>
        </w:rPr>
        <w:t>重点调查作物的种类、名称、种植历史、产业优势、种植面积、是否为群众生产生活所必需等属性。</w:t>
      </w:r>
    </w:p>
    <w:p w14:paraId="53C64FA6">
      <w:pPr>
        <w:spacing w:after="0" w:line="48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ab/>
      </w:r>
      <w:r>
        <w:rPr>
          <w:rFonts w:hint="eastAsia" w:ascii="宋体" w:hAnsi="宋体" w:eastAsia="宋体" w:cs="宋体"/>
        </w:rPr>
        <w:t>对纳入摸底范围的农作物，须明确其浅根系生物学特性及认定依据，确保分类科学、依据充分。</w:t>
      </w:r>
    </w:p>
    <w:p w14:paraId="06D037FD">
      <w:pPr>
        <w:spacing w:after="0" w:line="480" w:lineRule="auto"/>
        <w:rPr>
          <w:rFonts w:hint="eastAsia" w:ascii="宋体" w:hAnsi="宋体" w:eastAsia="宋体" w:cs="宋体"/>
        </w:rPr>
      </w:pPr>
      <w:r>
        <w:rPr>
          <w:rFonts w:hint="eastAsia" w:ascii="宋体" w:hAnsi="宋体" w:eastAsia="宋体" w:cs="宋体"/>
        </w:rPr>
        <w:t>（二）基本农作物建议名录编制</w:t>
      </w:r>
    </w:p>
    <w:p w14:paraId="292340DE">
      <w:pPr>
        <w:spacing w:after="0" w:line="48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ab/>
      </w:r>
      <w:r>
        <w:rPr>
          <w:rFonts w:hint="eastAsia" w:ascii="宋体" w:hAnsi="宋体" w:eastAsia="宋体" w:cs="宋体"/>
        </w:rPr>
        <w:t>在全面摸底基础上，系统梳理各类作物信息，提出拟纳入县级基本农作物建议名录的初步清单。</w:t>
      </w:r>
    </w:p>
    <w:p w14:paraId="247D43CA">
      <w:pPr>
        <w:spacing w:after="0" w:line="48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ab/>
      </w:r>
      <w:r>
        <w:rPr>
          <w:rFonts w:hint="eastAsia" w:ascii="宋体" w:hAnsi="宋体" w:eastAsia="宋体" w:cs="宋体"/>
        </w:rPr>
        <w:t>编制《富平县基本农作物建议名录》，分类列明中药材、浅根系水果、浅根系花卉等作物的基本信息，形成规范文本。</w:t>
      </w:r>
    </w:p>
    <w:p w14:paraId="489C6F61">
      <w:pPr>
        <w:spacing w:after="0" w:line="48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ab/>
      </w:r>
      <w:r>
        <w:rPr>
          <w:rFonts w:hint="eastAsia" w:ascii="宋体" w:hAnsi="宋体" w:eastAsia="宋体" w:cs="宋体"/>
        </w:rPr>
        <w:t>配合县自然资源局，征求县农业农村局、林业局等部门的意见，完成名录的会审与确认。</w:t>
      </w:r>
    </w:p>
    <w:p w14:paraId="3D5ECE3D">
      <w:pPr>
        <w:spacing w:after="0" w:line="480" w:lineRule="auto"/>
        <w:rPr>
          <w:rFonts w:hint="eastAsia" w:ascii="宋体" w:hAnsi="宋体" w:eastAsia="宋体" w:cs="宋体"/>
        </w:rPr>
      </w:pPr>
      <w:r>
        <w:rPr>
          <w:rFonts w:hint="eastAsia" w:ascii="宋体" w:hAnsi="宋体" w:eastAsia="宋体" w:cs="宋体"/>
        </w:rPr>
        <w:t>（三）图斑核查与数据建库</w:t>
      </w:r>
    </w:p>
    <w:p w14:paraId="2B49885D">
      <w:pPr>
        <w:spacing w:after="0" w:line="48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ab/>
      </w:r>
      <w:r>
        <w:rPr>
          <w:rFonts w:hint="eastAsia" w:ascii="宋体" w:hAnsi="宋体" w:eastAsia="宋体" w:cs="宋体"/>
        </w:rPr>
        <w:t>结合高分辨率遥感影像与实地调查，核实作物种植图斑边界、面积及地类属性。</w:t>
      </w:r>
    </w:p>
    <w:p w14:paraId="35B9B5CB">
      <w:pPr>
        <w:spacing w:after="0" w:line="48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ab/>
      </w:r>
      <w:r>
        <w:rPr>
          <w:rFonts w:hint="eastAsia" w:ascii="宋体" w:hAnsi="宋体" w:eastAsia="宋体" w:cs="宋体"/>
        </w:rPr>
        <w:t>建立耕地种植情况专项数据库，包括作物类型、空间分布、种植年限、产业效益等字段，确保数据真实、完整、可追溯。</w:t>
      </w:r>
    </w:p>
    <w:p w14:paraId="7346E138">
      <w:pPr>
        <w:spacing w:after="0" w:line="48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ab/>
      </w:r>
      <w:r>
        <w:rPr>
          <w:rFonts w:hint="eastAsia" w:ascii="宋体" w:hAnsi="宋体" w:eastAsia="宋体" w:cs="宋体"/>
        </w:rPr>
        <w:t>按要求填写《农作物基本信息表》与《种植情况统计汇总表》，做到图、数、实地一致。</w:t>
      </w:r>
    </w:p>
    <w:p w14:paraId="32BE0B92">
      <w:pPr>
        <w:spacing w:after="0" w:line="480" w:lineRule="auto"/>
        <w:rPr>
          <w:rFonts w:hint="eastAsia" w:ascii="宋体" w:hAnsi="宋体" w:eastAsia="宋体" w:cs="宋体"/>
        </w:rPr>
      </w:pPr>
      <w:r>
        <w:rPr>
          <w:rFonts w:hint="eastAsia" w:ascii="宋体" w:hAnsi="宋体" w:eastAsia="宋体" w:cs="宋体"/>
        </w:rPr>
        <w:t>（四）成果编制与上报</w:t>
      </w:r>
    </w:p>
    <w:p w14:paraId="25D2BB1C">
      <w:pPr>
        <w:spacing w:after="0" w:line="480" w:lineRule="auto"/>
        <w:rPr>
          <w:rFonts w:hint="eastAsia" w:ascii="宋体" w:hAnsi="宋体" w:eastAsia="宋体" w:cs="宋体"/>
        </w:rPr>
      </w:pPr>
      <w:r>
        <w:rPr>
          <w:rFonts w:hint="eastAsia" w:ascii="宋体" w:hAnsi="宋体" w:eastAsia="宋体" w:cs="宋体"/>
        </w:rPr>
        <w:t>1.形成《关于报送基本农作物建议名录的函》，附全套摸底表格，按要求报送市级主管部门。</w:t>
      </w:r>
    </w:p>
    <w:p w14:paraId="046211F9">
      <w:pPr>
        <w:spacing w:after="0" w:line="480" w:lineRule="auto"/>
        <w:rPr>
          <w:rFonts w:hint="eastAsia" w:ascii="宋体" w:hAnsi="宋体" w:eastAsia="宋体" w:cs="宋体"/>
        </w:rPr>
      </w:pPr>
      <w:r>
        <w:rPr>
          <w:rFonts w:hint="eastAsia" w:ascii="宋体" w:hAnsi="宋体" w:eastAsia="宋体" w:cs="宋体"/>
        </w:rPr>
        <w:t>2.配合完成县级、市级成果审核与备案，根据反馈意见及时修改完善。</w:t>
      </w:r>
    </w:p>
    <w:p w14:paraId="49848780">
      <w:pPr>
        <w:spacing w:after="0" w:line="480" w:lineRule="auto"/>
        <w:rPr>
          <w:rFonts w:hint="eastAsia" w:ascii="宋体" w:hAnsi="宋体" w:eastAsia="宋体" w:cs="宋体"/>
        </w:rPr>
      </w:pPr>
      <w:r>
        <w:rPr>
          <w:rFonts w:hint="eastAsia" w:ascii="宋体" w:hAnsi="宋体" w:eastAsia="宋体" w:cs="宋体"/>
        </w:rPr>
        <w:t>（五）技术支撑与部门协同</w:t>
      </w:r>
    </w:p>
    <w:p w14:paraId="17BE0353">
      <w:pPr>
        <w:spacing w:after="0" w:line="48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rPr>
        <w:tab/>
      </w:r>
      <w:r>
        <w:rPr>
          <w:rFonts w:hint="eastAsia" w:ascii="宋体" w:hAnsi="宋体" w:eastAsia="宋体" w:cs="宋体"/>
        </w:rPr>
        <w:t>提供全流程技术支撑，包括遥感解译、外业核查、报告撰写等。</w:t>
      </w:r>
    </w:p>
    <w:p w14:paraId="1FBA360E">
      <w:pPr>
        <w:spacing w:after="0" w:line="48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ab/>
      </w:r>
      <w:r>
        <w:rPr>
          <w:rFonts w:hint="eastAsia" w:ascii="宋体" w:hAnsi="宋体" w:eastAsia="宋体" w:cs="宋体"/>
        </w:rPr>
        <w:t>协助组织镇（街道）及相关部门开展业务培训与工作推进会。</w:t>
      </w:r>
    </w:p>
    <w:p w14:paraId="0D1CA537">
      <w:pPr>
        <w:spacing w:after="0" w:line="48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rPr>
        <w:tab/>
      </w:r>
      <w:r>
        <w:rPr>
          <w:rFonts w:hint="eastAsia" w:ascii="宋体" w:hAnsi="宋体" w:eastAsia="宋体" w:cs="宋体"/>
        </w:rPr>
        <w:t>加强与农业农村、林业等部门的沟通协调，确保摸底成果得到多方确认，数据共享、意见统一。</w:t>
      </w:r>
    </w:p>
    <w:p w14:paraId="76361970">
      <w:pPr>
        <w:spacing w:after="0" w:line="480" w:lineRule="auto"/>
        <w:rPr>
          <w:rFonts w:hint="eastAsia" w:ascii="宋体" w:hAnsi="宋体" w:eastAsia="宋体" w:cs="宋体"/>
          <w:lang w:val="en-US" w:eastAsia="zh-CN"/>
        </w:rPr>
      </w:pPr>
      <w:r>
        <w:rPr>
          <w:rFonts w:hint="eastAsia" w:ascii="宋体" w:hAnsi="宋体" w:eastAsia="宋体" w:cs="宋体"/>
          <w:lang w:val="en-US" w:eastAsia="zh-CN"/>
        </w:rPr>
        <w:t>4、服务期：30日历天（具体起止日期以合同签订时间为准）</w:t>
      </w:r>
    </w:p>
    <w:p w14:paraId="0D0143B8">
      <w:pPr>
        <w:spacing w:after="0" w:line="480" w:lineRule="auto"/>
        <w:rPr>
          <w:rFonts w:hint="default" w:ascii="宋体" w:hAnsi="宋体" w:eastAsia="宋体" w:cs="宋体"/>
          <w:lang w:val="en-US" w:eastAsia="zh-CN"/>
        </w:rPr>
      </w:pPr>
      <w:r>
        <w:rPr>
          <w:rFonts w:hint="eastAsia" w:ascii="宋体" w:hAnsi="宋体" w:eastAsia="宋体" w:cs="宋体"/>
          <w:lang w:val="en-US" w:eastAsia="zh-CN"/>
        </w:rPr>
        <w:t>5、付款方式：提交成果项目完成后一次性支付，达到付款条件起30日内，支付合同总金额的100%。</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方正楷体_GB2312">
    <w:altName w:val="Arial Unicode MS"/>
    <w:panose1 w:val="00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Segoe UI">
    <w:panose1 w:val="020B0502040204020203"/>
    <w:charset w:val="00"/>
    <w:family w:val="swiss"/>
    <w:pitch w:val="default"/>
    <w:sig w:usb0="E4002EFF" w:usb1="C000E47F"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E52567"/>
    <w:multiLevelType w:val="multilevel"/>
    <w:tmpl w:val="06E5256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3F6409"/>
    <w:multiLevelType w:val="multilevel"/>
    <w:tmpl w:val="273F6409"/>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9F37D77"/>
    <w:multiLevelType w:val="multilevel"/>
    <w:tmpl w:val="29F37D7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ACB7562"/>
    <w:multiLevelType w:val="multilevel"/>
    <w:tmpl w:val="2ACB7562"/>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B5"/>
    <w:rsid w:val="00027A7C"/>
    <w:rsid w:val="00077A6A"/>
    <w:rsid w:val="0021011A"/>
    <w:rsid w:val="00272752"/>
    <w:rsid w:val="003604A0"/>
    <w:rsid w:val="005B324E"/>
    <w:rsid w:val="00601B72"/>
    <w:rsid w:val="00781F07"/>
    <w:rsid w:val="007A1FB5"/>
    <w:rsid w:val="008111D6"/>
    <w:rsid w:val="00957E86"/>
    <w:rsid w:val="00A73B57"/>
    <w:rsid w:val="00AE3E81"/>
    <w:rsid w:val="00C06E0A"/>
    <w:rsid w:val="00D03758"/>
    <w:rsid w:val="00E42FBE"/>
    <w:rsid w:val="3F826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360" w:lineRule="auto"/>
      <w:jc w:val="both"/>
    </w:pPr>
    <w:rPr>
      <w:rFonts w:ascii="Times New Roman" w:hAnsi="Times New Roman" w:eastAsia="仿宋_GB2312" w:cstheme="minorBidi"/>
      <w:kern w:val="2"/>
      <w:sz w:val="28"/>
      <w:szCs w:val="24"/>
      <w:lang w:val="en-US" w:eastAsia="zh-CN" w:bidi="ar-SA"/>
    </w:rPr>
  </w:style>
  <w:style w:type="paragraph" w:styleId="2">
    <w:name w:val="heading 1"/>
    <w:basedOn w:val="1"/>
    <w:next w:val="1"/>
    <w:link w:val="15"/>
    <w:autoRedefine/>
    <w:qFormat/>
    <w:uiPriority w:val="0"/>
    <w:pPr>
      <w:keepNext/>
      <w:keepLines/>
      <w:spacing w:line="600" w:lineRule="exact"/>
      <w:ind w:left="420" w:hanging="420"/>
      <w:outlineLvl w:val="0"/>
    </w:pPr>
    <w:rPr>
      <w:rFonts w:eastAsia="黑体" w:cs="Times New Roman"/>
      <w:b/>
      <w:kern w:val="44"/>
      <w:sz w:val="32"/>
    </w:rPr>
  </w:style>
  <w:style w:type="paragraph" w:styleId="3">
    <w:name w:val="heading 2"/>
    <w:basedOn w:val="1"/>
    <w:next w:val="1"/>
    <w:link w:val="17"/>
    <w:autoRedefine/>
    <w:unhideWhenUsed/>
    <w:qFormat/>
    <w:uiPriority w:val="9"/>
    <w:pPr>
      <w:keepNext/>
      <w:keepLines/>
      <w:spacing w:line="600" w:lineRule="exact"/>
      <w:outlineLvl w:val="1"/>
    </w:pPr>
    <w:rPr>
      <w:rFonts w:ascii="宋体" w:hAnsi="宋体" w:eastAsia="楷体_GB2312" w:cstheme="majorBidi"/>
      <w:b/>
      <w:bCs/>
      <w:sz w:val="32"/>
      <w:szCs w:val="32"/>
    </w:rPr>
  </w:style>
  <w:style w:type="paragraph" w:styleId="4">
    <w:name w:val="heading 3"/>
    <w:basedOn w:val="1"/>
    <w:next w:val="1"/>
    <w:link w:val="16"/>
    <w:unhideWhenUsed/>
    <w:qFormat/>
    <w:uiPriority w:val="0"/>
    <w:pPr>
      <w:keepNext/>
      <w:keepLines/>
      <w:spacing w:before="50" w:beforeLines="50" w:after="50" w:afterLines="50" w:line="415" w:lineRule="auto"/>
      <w:outlineLvl w:val="2"/>
    </w:pPr>
    <w:rPr>
      <w:b/>
      <w:bCs/>
      <w:sz w:val="30"/>
      <w:szCs w:val="32"/>
    </w:rPr>
  </w:style>
  <w:style w:type="paragraph" w:styleId="5">
    <w:name w:val="heading 4"/>
    <w:basedOn w:val="1"/>
    <w:next w:val="1"/>
    <w:link w:val="18"/>
    <w:unhideWhenUsed/>
    <w:qFormat/>
    <w:uiPriority w:val="0"/>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autoRedefine/>
    <w:qFormat/>
    <w:uiPriority w:val="39"/>
    <w:pPr>
      <w:tabs>
        <w:tab w:val="right" w:leader="dot" w:pos="8296"/>
      </w:tabs>
      <w:ind w:left="560" w:leftChars="200" w:firstLine="560"/>
    </w:p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22"/>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9">
    <w:name w:val="toc 1"/>
    <w:basedOn w:val="1"/>
    <w:next w:val="1"/>
    <w:autoRedefine/>
    <w:qFormat/>
    <w:uiPriority w:val="39"/>
    <w:pPr>
      <w:tabs>
        <w:tab w:val="right" w:leader="dot" w:pos="8296"/>
      </w:tabs>
      <w:jc w:val="center"/>
    </w:pPr>
  </w:style>
  <w:style w:type="paragraph" w:styleId="10">
    <w:name w:val="toc 2"/>
    <w:basedOn w:val="1"/>
    <w:next w:val="1"/>
    <w:autoRedefine/>
    <w:qFormat/>
    <w:uiPriority w:val="39"/>
    <w:pPr>
      <w:tabs>
        <w:tab w:val="left" w:pos="2030"/>
        <w:tab w:val="right" w:leader="dot" w:pos="8296"/>
      </w:tabs>
      <w:ind w:firstLine="561"/>
    </w:pPr>
    <w:rPr>
      <w:rFonts w:eastAsia="方正楷体_GB2312" w:cs="Times New Roman"/>
      <w:b/>
      <w:bCs/>
    </w:rPr>
  </w:style>
  <w:style w:type="paragraph" w:styleId="11">
    <w:name w:val="Normal (Web)"/>
    <w:basedOn w:val="1"/>
    <w:qFormat/>
    <w:uiPriority w:val="0"/>
    <w:pPr>
      <w:spacing w:beforeAutospacing="1" w:afterAutospacing="1"/>
      <w:jc w:val="left"/>
    </w:pPr>
    <w:rPr>
      <w:rFonts w:cs="Times New Roman"/>
      <w:kern w:val="0"/>
      <w:sz w:val="24"/>
    </w:rPr>
  </w:style>
  <w:style w:type="character" w:styleId="14">
    <w:name w:val="Strong"/>
    <w:basedOn w:val="13"/>
    <w:qFormat/>
    <w:uiPriority w:val="22"/>
    <w:rPr>
      <w:b/>
    </w:rPr>
  </w:style>
  <w:style w:type="character" w:customStyle="1" w:styleId="15">
    <w:name w:val="标题 1 Char"/>
    <w:basedOn w:val="13"/>
    <w:link w:val="2"/>
    <w:qFormat/>
    <w:uiPriority w:val="0"/>
    <w:rPr>
      <w:rFonts w:eastAsia="黑体"/>
      <w:b/>
      <w:kern w:val="44"/>
      <w:sz w:val="32"/>
      <w:szCs w:val="24"/>
    </w:rPr>
  </w:style>
  <w:style w:type="character" w:customStyle="1" w:styleId="16">
    <w:name w:val="标题 3 Char"/>
    <w:basedOn w:val="13"/>
    <w:link w:val="4"/>
    <w:qFormat/>
    <w:uiPriority w:val="0"/>
    <w:rPr>
      <w:rFonts w:eastAsia="仿宋_GB2312" w:cstheme="minorBidi"/>
      <w:b/>
      <w:bCs/>
      <w:kern w:val="2"/>
      <w:sz w:val="30"/>
      <w:szCs w:val="32"/>
    </w:rPr>
  </w:style>
  <w:style w:type="character" w:customStyle="1" w:styleId="17">
    <w:name w:val="标题 2 Char"/>
    <w:basedOn w:val="13"/>
    <w:link w:val="3"/>
    <w:qFormat/>
    <w:uiPriority w:val="9"/>
    <w:rPr>
      <w:rFonts w:ascii="宋体" w:hAnsi="宋体" w:eastAsia="楷体_GB2312" w:cstheme="majorBidi"/>
      <w:b/>
      <w:bCs/>
      <w:kern w:val="2"/>
      <w:sz w:val="32"/>
      <w:szCs w:val="32"/>
    </w:rPr>
  </w:style>
  <w:style w:type="character" w:customStyle="1" w:styleId="18">
    <w:name w:val="标题 4 Char"/>
    <w:basedOn w:val="13"/>
    <w:link w:val="5"/>
    <w:qFormat/>
    <w:uiPriority w:val="0"/>
    <w:rPr>
      <w:rFonts w:asciiTheme="majorHAnsi" w:hAnsiTheme="majorHAnsi" w:eastAsiaTheme="majorEastAsia" w:cstheme="majorBidi"/>
      <w:b/>
      <w:bCs/>
      <w:kern w:val="2"/>
      <w:sz w:val="28"/>
      <w:szCs w:val="28"/>
    </w:rPr>
  </w:style>
  <w:style w:type="paragraph" w:customStyle="1" w:styleId="19">
    <w:name w:val="TOC 标题1"/>
    <w:basedOn w:val="2"/>
    <w:next w:val="1"/>
    <w:unhideWhenUsed/>
    <w:qFormat/>
    <w:uiPriority w:val="39"/>
    <w:pPr>
      <w:spacing w:before="480" w:line="276" w:lineRule="auto"/>
      <w:jc w:val="left"/>
      <w:outlineLvl w:val="9"/>
    </w:pPr>
    <w:rPr>
      <w:rFonts w:asciiTheme="majorHAnsi" w:hAnsiTheme="majorHAnsi" w:eastAsiaTheme="majorEastAsia" w:cstheme="majorBidi"/>
      <w:color w:val="2E54A1" w:themeColor="accent1" w:themeShade="BF"/>
      <w:kern w:val="0"/>
      <w:sz w:val="28"/>
      <w:szCs w:val="28"/>
    </w:rPr>
  </w:style>
  <w:style w:type="character" w:customStyle="1" w:styleId="20">
    <w:name w:val="页脚 Char"/>
    <w:basedOn w:val="13"/>
    <w:link w:val="7"/>
    <w:qFormat/>
    <w:uiPriority w:val="99"/>
    <w:rPr>
      <w:rFonts w:eastAsia="仿宋_GB2312" w:cstheme="minorBidi"/>
      <w:kern w:val="2"/>
      <w:sz w:val="18"/>
      <w:szCs w:val="18"/>
    </w:rPr>
  </w:style>
  <w:style w:type="paragraph" w:styleId="21">
    <w:name w:val="List Paragraph"/>
    <w:basedOn w:val="1"/>
    <w:qFormat/>
    <w:uiPriority w:val="34"/>
    <w:pPr>
      <w:spacing w:line="600" w:lineRule="exact"/>
    </w:pPr>
    <w:rPr>
      <w:szCs w:val="22"/>
    </w:rPr>
  </w:style>
  <w:style w:type="character" w:customStyle="1" w:styleId="22">
    <w:name w:val="页眉 Char"/>
    <w:basedOn w:val="13"/>
    <w:link w:val="8"/>
    <w:qFormat/>
    <w:uiPriority w:val="99"/>
    <w:rPr>
      <w:rFonts w:eastAsia="仿宋_GB2312"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1948</Words>
  <Characters>1994</Characters>
  <Lines>14</Lines>
  <Paragraphs>4</Paragraphs>
  <TotalTime>67</TotalTime>
  <ScaleCrop>false</ScaleCrop>
  <LinksUpToDate>false</LinksUpToDate>
  <CharactersWithSpaces>2010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2025-11-27T05:57:00Z</dcterms:created>
  <dc:creator>win11-0632</dc:creator>
  <cp:lastModifiedBy>扶摇、直上</cp:lastModifiedBy>
  <dcterms:modified xsi:type="dcterms:W3CDTF">2025-12-10T03:22:56Z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eyJoZGlkIjoiMDlmZGUxODZhOTE0ZDA0MzY0YTJkMjc2OWZjNjkxNzAiLCJ1c2VySWQiOiI3NTQ0NjE3ODUifQ==</vt:lpwstr>
  </property>
  <property fmtid="{D5CDD505-2E9C-101B-9397-08002B2CF9AE}" pid="3" name="KSOProductBuildVer">
    <vt:lpwstr>2052-12.1.0.24034</vt:lpwstr>
  </property>
  <property fmtid="{D5CDD505-2E9C-101B-9397-08002B2CF9AE}" pid="4" name="ICV">
    <vt:lpwstr>FDA3C04288654D42BE772E84D10278EA_12</vt:lpwstr>
  </property>
</Properties>
</file>