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版本号：HRPD-ZFCG-2025-00220250610001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2025年富平县梅家坪镇文昌村渠道衬砌建设项目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HRPD-ZFCG-2025-002</w:t>
      </w:r>
      <w:r>
        <w:br/>
      </w:r>
      <w:r>
        <w:br/>
      </w:r>
      <w:r>
        <w:br/>
      </w:r>
    </w:p>
    <w:p>
      <w:pPr>
        <w:pStyle w:val="null3"/>
        <w:jc w:val="center"/>
        <w:outlineLvl w:val="2"/>
      </w:pPr>
      <w:r>
        <w:rPr>
          <w:rFonts w:ascii="仿宋_GB2312" w:hAnsi="仿宋_GB2312" w:cs="仿宋_GB2312" w:eastAsia="仿宋_GB2312"/>
          <w:sz w:val="28"/>
          <w:b/>
        </w:rPr>
        <w:t>富平县梅家坪镇人民政府（本级）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富平县梅家坪镇人民政府（本级）</w:t>
      </w:r>
      <w:r>
        <w:rPr>
          <w:rFonts w:ascii="仿宋_GB2312" w:hAnsi="仿宋_GB2312" w:cs="仿宋_GB2312" w:eastAsia="仿宋_GB2312"/>
        </w:rPr>
        <w:t>委托，拟对</w:t>
      </w:r>
      <w:r>
        <w:rPr>
          <w:rFonts w:ascii="仿宋_GB2312" w:hAnsi="仿宋_GB2312" w:cs="仿宋_GB2312" w:eastAsia="仿宋_GB2312"/>
        </w:rPr>
        <w:t>2025年富平县梅家坪镇文昌村渠道衬砌建设项目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2025年富平县梅家坪镇文昌村渠道衬砌建设项目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衬砌U40渠道4600m，出水口160个，生产桥10个等。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采购包1（2025年富平县梅家坪镇文昌村渠道衬砌建设项目）：属于专门面向中小企业采购。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6、资质证书：具有市政公用工程或水利水电工程施工总承包三级及以上资质；并具有建设行政主管部门核发有效的安全生产许可证</w:t>
      </w:r>
    </w:p>
    <w:p>
      <w:pPr>
        <w:pStyle w:val="null3"/>
      </w:pPr>
      <w:r>
        <w:rPr>
          <w:rFonts w:ascii="仿宋_GB2312" w:hAnsi="仿宋_GB2312" w:cs="仿宋_GB2312" w:eastAsia="仿宋_GB2312"/>
        </w:rPr>
        <w:t>7、项目经理：项目经理须具备市政公用工程或水利水电工程施工总承包专业注册建造师二级及以上级资格和安全生产考核证书（此项可提供复印件，须有可识别的二维码并加盖公章），且未负责其他在建工程（须提供无在建工程的相关证明材料或承诺书）</w:t>
      </w:r>
    </w:p>
    <w:p>
      <w:pPr>
        <w:pStyle w:val="null3"/>
      </w:pPr>
      <w:r>
        <w:rPr>
          <w:rFonts w:ascii="仿宋_GB2312" w:hAnsi="仿宋_GB2312" w:cs="仿宋_GB2312" w:eastAsia="仿宋_GB2312"/>
        </w:rPr>
        <w:t>8、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信用信息：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)政府采购严重违法失信行为记录名单中被财政部门禁止参加政府采购活动的供应商:供应商需在项日电子化交易系统中按要求上传相应证明文件并进行电子签章。</w:t>
      </w:r>
    </w:p>
    <w:p>
      <w:pPr>
        <w:pStyle w:val="null3"/>
      </w:pPr>
      <w:r>
        <w:rPr>
          <w:rFonts w:ascii="仿宋_GB2312" w:hAnsi="仿宋_GB2312" w:cs="仿宋_GB2312" w:eastAsia="仿宋_GB2312"/>
        </w:rPr>
        <w:t>10、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11、磋商保证金：提供磋商保证金交纳凭证；供应商需在项目电子化交易系统中按要求上传相应证明文件并进行电子签章。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12、非联合体磋商：非联合体磋商声明;供应商需在项目电子化交易系统中按要求上传相应证明文件并进行电子签章。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富平县梅家坪镇人民政府（本级）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富平县梅家坪镇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富平县梅家坪镇人民政府（本级）经办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17868558617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井红艳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 知（计价格[2002]1980 号）计算收取，不计入工程造价，按照《国家发展改革委办公厅关于招标代理服务收费有关问题的通知》（发改办价格〔2003〕 857 号）规定向成交供应商收取。造价咨询服务费按（陕价行发【2014】88 号文件）计算收取，不计入工程造价，由成交供应商支付。若本次招标失败（非代理机构原因），招标代理服务费和造价咨询服务费由中标人支付。具体金额详见中标（成交）结果公告，在领取中标通知书时向采购代理机构一 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富平县梅家坪镇人民政府（本级）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富平县梅家坪镇人民政府（本级）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富平县梅家坪镇人民政府（本级）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联系人：井工</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地址：陕西省渭南市富平县频阳大道云创大厦811室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656,000.00</w:t>
      </w:r>
    </w:p>
    <w:p>
      <w:pPr>
        <w:pStyle w:val="null3"/>
      </w:pPr>
      <w:r>
        <w:rPr>
          <w:rFonts w:ascii="仿宋_GB2312" w:hAnsi="仿宋_GB2312" w:cs="仿宋_GB2312" w:eastAsia="仿宋_GB2312"/>
        </w:rPr>
        <w:t>采购包最高限价（元）: 652,648.47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详见工程量清单</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标的名称：详见工程量清单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spacing w:before="75"/>
              <w:ind w:right="30"/>
              <w:jc w:val="both"/>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衬砌</w:t>
            </w:r>
            <w:r>
              <w:rPr>
                <w:rFonts w:ascii="仿宋_GB2312" w:hAnsi="仿宋_GB2312" w:cs="仿宋_GB2312" w:eastAsia="仿宋_GB2312"/>
                <w:sz w:val="24"/>
                <w:color w:val="000000"/>
              </w:rPr>
              <w:t>U40渠道4600m，出水口160个，生产桥10个</w:t>
            </w:r>
            <w:r>
              <w:rPr>
                <w:rFonts w:ascii="仿宋_GB2312" w:hAnsi="仿宋_GB2312" w:cs="仿宋_GB2312" w:eastAsia="仿宋_GB2312"/>
                <w:sz w:val="24"/>
                <w:color w:val="000000"/>
              </w:rPr>
              <w:t>等。</w:t>
            </w:r>
          </w:p>
          <w:p>
            <w:pPr>
              <w:pStyle w:val="null3"/>
              <w:spacing w:before="75"/>
              <w:ind w:right="30"/>
            </w:pPr>
            <w:r>
              <w:rPr>
                <w:rFonts w:ascii="仿宋_GB2312" w:hAnsi="仿宋_GB2312" w:cs="仿宋_GB2312" w:eastAsia="仿宋_GB2312"/>
                <w:sz w:val="24"/>
                <w:b/>
                <w:color w:val="000000"/>
              </w:rPr>
              <w:t>二、实施地点</w:t>
            </w:r>
            <w:r>
              <w:rPr>
                <w:rFonts w:ascii="仿宋_GB2312" w:hAnsi="仿宋_GB2312" w:cs="仿宋_GB2312" w:eastAsia="仿宋_GB2312"/>
                <w:sz w:val="24"/>
                <w:color w:val="000000"/>
              </w:rPr>
              <w:t>：采购人指定地点</w:t>
            </w:r>
          </w:p>
          <w:p>
            <w:pPr>
              <w:pStyle w:val="null3"/>
              <w:spacing w:before="75"/>
              <w:ind w:right="30"/>
            </w:pPr>
            <w:r>
              <w:rPr>
                <w:rFonts w:ascii="仿宋_GB2312" w:hAnsi="仿宋_GB2312" w:cs="仿宋_GB2312" w:eastAsia="仿宋_GB2312"/>
                <w:sz w:val="24"/>
                <w:b/>
                <w:color w:val="000000"/>
              </w:rPr>
              <w:t>三、项目要求：</w:t>
            </w:r>
          </w:p>
          <w:p>
            <w:pPr>
              <w:pStyle w:val="null3"/>
            </w:pPr>
            <w:r>
              <w:rPr>
                <w:rFonts w:ascii="仿宋_GB2312" w:hAnsi="仿宋_GB2312" w:cs="仿宋_GB2312" w:eastAsia="仿宋_GB2312"/>
                <w:sz w:val="24"/>
              </w:rPr>
              <w:t>1.工程质量目标:达到国家现行施工验收规范“合格”标准。</w:t>
            </w:r>
          </w:p>
          <w:p>
            <w:pPr>
              <w:pStyle w:val="null3"/>
            </w:pPr>
            <w:r>
              <w:rPr>
                <w:rFonts w:ascii="仿宋_GB2312" w:hAnsi="仿宋_GB2312" w:cs="仿宋_GB2312" w:eastAsia="仿宋_GB2312"/>
                <w:sz w:val="24"/>
              </w:rPr>
              <w:t>2.文明施工:安全文明施工工地。</w:t>
            </w:r>
          </w:p>
          <w:p>
            <w:pPr>
              <w:pStyle w:val="null3"/>
            </w:pPr>
            <w:r>
              <w:rPr>
                <w:rFonts w:ascii="仿宋_GB2312" w:hAnsi="仿宋_GB2312" w:cs="仿宋_GB2312" w:eastAsia="仿宋_GB2312"/>
                <w:sz w:val="24"/>
                <w:b/>
              </w:rPr>
              <w:t>四、工期及质保期：</w:t>
            </w:r>
          </w:p>
          <w:p>
            <w:pPr>
              <w:pStyle w:val="null3"/>
            </w:pPr>
            <w:r>
              <w:rPr>
                <w:rFonts w:ascii="仿宋_GB2312" w:hAnsi="仿宋_GB2312" w:cs="仿宋_GB2312" w:eastAsia="仿宋_GB2312"/>
                <w:sz w:val="24"/>
              </w:rPr>
              <w:t>工期：</w:t>
            </w:r>
            <w:r>
              <w:rPr>
                <w:rFonts w:ascii="仿宋_GB2312" w:hAnsi="仿宋_GB2312" w:cs="仿宋_GB2312" w:eastAsia="仿宋_GB2312"/>
                <w:sz w:val="24"/>
              </w:rPr>
              <w:t>60日历天（计划开、竣工日期以施工合同签订时间为准）。</w:t>
            </w:r>
          </w:p>
          <w:p>
            <w:pPr>
              <w:pStyle w:val="null3"/>
            </w:pPr>
            <w:r>
              <w:rPr>
                <w:rFonts w:ascii="仿宋_GB2312" w:hAnsi="仿宋_GB2312" w:cs="仿宋_GB2312" w:eastAsia="仿宋_GB2312"/>
                <w:sz w:val="24"/>
                <w:b/>
              </w:rPr>
              <w:t>五、安全要求</w:t>
            </w:r>
          </w:p>
          <w:p>
            <w:pPr>
              <w:pStyle w:val="null3"/>
            </w:pPr>
            <w:r>
              <w:rPr>
                <w:rFonts w:ascii="仿宋_GB2312" w:hAnsi="仿宋_GB2312" w:cs="仿宋_GB2312" w:eastAsia="仿宋_GB2312"/>
                <w:sz w:val="24"/>
              </w:rPr>
              <w:t>遵守工程建设安全生产有关管理规定，严格按安全标准组织施工，采取必要的安全生产措施，消除事故隐患。安全措施不力造成事故责任和发生的费用由成交供应商承担。</w:t>
            </w:r>
          </w:p>
          <w:p>
            <w:pPr>
              <w:pStyle w:val="null3"/>
            </w:pPr>
            <w:r>
              <w:rPr>
                <w:rFonts w:ascii="仿宋_GB2312" w:hAnsi="仿宋_GB2312" w:cs="仿宋_GB2312" w:eastAsia="仿宋_GB2312"/>
                <w:sz w:val="24"/>
                <w:b/>
              </w:rPr>
              <w:t>六、工程施工基本要求</w:t>
            </w:r>
          </w:p>
          <w:p>
            <w:pPr>
              <w:pStyle w:val="null3"/>
              <w:jc w:val="both"/>
            </w:pPr>
            <w:r>
              <w:rPr>
                <w:rFonts w:ascii="仿宋_GB2312" w:hAnsi="仿宋_GB2312" w:cs="仿宋_GB2312" w:eastAsia="仿宋_GB2312"/>
                <w:sz w:val="24"/>
                <w:color w:val="000000"/>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具有市政公用工程或水利水电工程施工总承包三级及以上资质；并具有建设行政主管部门核发有效的安全生产许可证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市政公用工程或水利水电工程施工总承包专业注册建造师二级及以上级资格和安全生产考核证书（此项可提供复印件，须有可识别的二维码并加盖公章），且未负责其他在建工程（须提供无在建工程的相关证明材料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)政府采购严重违法失信行为记录名单中被财政部门禁止参加政府采购活动的供应商:供应商需在项日电子化交易系统中按要求上传相应证明文件并进行电子签章。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投标（响应）有效期满足磋商文件的要求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响应文件签字和盖章满足磋商文件的要求</w:t>
            </w:r>
          </w:p>
        </w:tc>
        <w:tc>
          <w:tcPr>
            <w:tcW w:type="dxa" w:w="1661"/>
          </w:tcPr>
          <w:p>
            <w:pPr>
              <w:pStyle w:val="null3"/>
            </w:pPr>
            <w:r>
              <w:rPr>
                <w:rFonts w:ascii="仿宋_GB2312" w:hAnsi="仿宋_GB2312" w:cs="仿宋_GB2312" w:eastAsia="仿宋_GB2312"/>
              </w:rPr>
              <w:t>报价一览表.docx 已标价工程量清单 技术服务合同条款及其他商务要求应答表.docx 中小企业声明函 承诺书.docx 业绩证明文件.docx 资格证明文件.docx 响应文件封面 残疾人福利性单位声明函 报价函 标的清单 响应函 监狱企业的证明文件 磋商保证金退还信息表.docx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供应商磋商报价未超出最高限价</w:t>
            </w:r>
          </w:p>
        </w:tc>
        <w:tc>
          <w:tcPr>
            <w:tcW w:type="dxa" w:w="1661"/>
          </w:tcPr>
          <w:p>
            <w:pPr>
              <w:pStyle w:val="null3"/>
            </w:pPr>
            <w:r>
              <w:rPr>
                <w:rFonts w:ascii="仿宋_GB2312" w:hAnsi="仿宋_GB2312" w:cs="仿宋_GB2312" w:eastAsia="仿宋_GB2312"/>
              </w:rPr>
              <w:t>报价一览表.docx 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工期满足或优于采购要求</w:t>
            </w:r>
          </w:p>
        </w:tc>
        <w:tc>
          <w:tcPr>
            <w:tcW w:type="dxa" w:w="1661"/>
          </w:tcPr>
          <w:p>
            <w:pPr>
              <w:pStyle w:val="null3"/>
            </w:pPr>
            <w:r>
              <w:rPr>
                <w:rFonts w:ascii="仿宋_GB2312" w:hAnsi="仿宋_GB2312" w:cs="仿宋_GB2312" w:eastAsia="仿宋_GB2312"/>
              </w:rPr>
              <w:t>报价一览表.docx 技术服务合同条款及其他商务要求应答表.docx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 接受的条件</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质量标准满足磋商文件要求</w:t>
            </w:r>
          </w:p>
        </w:tc>
        <w:tc>
          <w:tcPr>
            <w:tcW w:type="dxa" w:w="1661"/>
          </w:tcPr>
          <w:p>
            <w:pPr>
              <w:pStyle w:val="null3"/>
            </w:pPr>
            <w:r>
              <w:rPr>
                <w:rFonts w:ascii="仿宋_GB2312" w:hAnsi="仿宋_GB2312" w:cs="仿宋_GB2312" w:eastAsia="仿宋_GB2312"/>
              </w:rPr>
              <w:t>报价一览表.docx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确保本项目质量的技术组织措施，措施内容科学可行、有针对性且内容详细计5～9（含）分，措施内容较为可行、针对性不强、内容简单计0～4（含）分，本项满分9分；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确保安全生产和文明施工的技术组织措施，措施内容科学可行、有针对性且内容详细计6～10（含）分，措施内容较为可行、针对性不强、内容简单计0～5（含）分，本项满分10分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确保文明施工及环境保护的技术组织措施，措施内容科学可行、有针对性且内容详细计5～8（含）分，措施内容较为可行、针对性不强、内容简单计0～4（含）分，本项满分8分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确保工期的技术组织措施，措施内容科学可行、有针对性且内容详细计5～8（含）分，措施内容较为可行、针对性不强、内容简单计0～4（含）分，本项满分8分；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施工方案及项目部人员组成（项目部人员应附资格证或职称证等）</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施工机械及工器具的配备情况，机械、设备安排合理、完整计4～7（含）分，机械、设备安排简单计0～3（含）分，本项满分7分；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近三年完成的类似业绩一项得1分，最多得3分（提供2021年1月1日至今类似工程；投标文件中须附类似工程业绩中标通知书或合同协议或竣工验收证明材料复印件或扫描件，并加盖公章）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详见附件：磋商保证金退还信息表.docx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