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版本号：HRPD-ZFCG-2025-01920250612002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2025年富平县淡村镇沐梵柿子加工配套项目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HRPD-ZFCG-2025-019</w:t>
      </w:r>
      <w:r>
        <w:br/>
      </w:r>
      <w:r>
        <w:br/>
      </w:r>
      <w:r>
        <w:br/>
      </w:r>
    </w:p>
    <w:p>
      <w:pPr>
        <w:pStyle w:val="null3"/>
        <w:jc w:val="center"/>
        <w:outlineLvl w:val="2"/>
      </w:pPr>
      <w:r>
        <w:rPr>
          <w:rFonts w:ascii="仿宋_GB2312" w:hAnsi="仿宋_GB2312" w:cs="仿宋_GB2312" w:eastAsia="仿宋_GB2312"/>
          <w:sz w:val="28"/>
          <w:b/>
        </w:rPr>
        <w:t>富平县淡村镇人民政府（本级）</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富平县淡村镇人民政府（本级）</w:t>
      </w:r>
      <w:r>
        <w:rPr>
          <w:rFonts w:ascii="仿宋_GB2312" w:hAnsi="仿宋_GB2312" w:cs="仿宋_GB2312" w:eastAsia="仿宋_GB2312"/>
        </w:rPr>
        <w:t>委托，拟对</w:t>
      </w:r>
      <w:r>
        <w:rPr>
          <w:rFonts w:ascii="仿宋_GB2312" w:hAnsi="仿宋_GB2312" w:cs="仿宋_GB2312" w:eastAsia="仿宋_GB2312"/>
        </w:rPr>
        <w:t>2025年富平县淡村镇沐梵柿子加工配套项目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HRPD-ZFCG-2025-019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2025年富平县淡村镇沐梵柿子加工配套项目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采购节能鲜柿烘干房4台，型号ZN-HGF-5T等。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投标全过程：法定代表人授权委托书（附法定代表人身份证复印件）及被授权委托人身份证复印件（法定代表人参加投标只须提供法定代表人身份证复印件）；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提供依法缴纳税收和社会保障资金的相关材料，依法免税的供应商应具有税务部门出具的证明文件；依法不需要缴纳社会保障金的供应商，需具有社保部门出具的证明文件；供应商需在项目电子化交易系统中按要求上传相应证明文件并进行电子签章。</w:t>
      </w:r>
    </w:p>
    <w:p>
      <w:pPr>
        <w:pStyle w:val="null3"/>
      </w:pPr>
      <w:r>
        <w:rPr>
          <w:rFonts w:ascii="仿宋_GB2312" w:hAnsi="仿宋_GB2312" w:cs="仿宋_GB2312" w:eastAsia="仿宋_GB2312"/>
        </w:rPr>
        <w:t>4、供应商具有良好的商业信誉和健全的财务会计制度：提供2023年度财务审计报告或投标前3个月内供应商基本账户银行出具的资信证明；供应商需在项目电子化交易系统中按要求上传相应证明文件并进行电子签章。</w:t>
      </w:r>
    </w:p>
    <w:p>
      <w:pPr>
        <w:pStyle w:val="null3"/>
      </w:pPr>
      <w:r>
        <w:rPr>
          <w:rFonts w:ascii="仿宋_GB2312" w:hAnsi="仿宋_GB2312" w:cs="仿宋_GB2312" w:eastAsia="仿宋_GB2312"/>
        </w:rPr>
        <w:t>5、供应商具有履行合同所必需的设备和专业技术能力：具有履行合同所必需的设备和专业技术能力的声明；供应商需在项目电子化交易系统中按要求上传相应证明文件并进行电子签章。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6、供应商参加政府采购活动前三年内在经营活动中没有重大违法记录：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7、投标保证金：提供投标保证金交纳凭证；供应商需在项目电子化交易系统中按要求上传相应证明文件并进行电子签章。</w:t>
      </w:r>
    </w:p>
    <w:p>
      <w:pPr>
        <w:pStyle w:val="null3"/>
      </w:pPr>
      <w:r>
        <w:rPr>
          <w:rFonts w:ascii="仿宋_GB2312" w:hAnsi="仿宋_GB2312" w:cs="仿宋_GB2312" w:eastAsia="仿宋_GB2312"/>
        </w:rPr>
        <w:t>8、非联合体投标：非联合体投标声明；供应商需在项目电子化交易系统中按要求上传相应证明文件并进行电子签章。</w:t>
      </w:r>
    </w:p>
    <w:p>
      <w:pPr>
        <w:pStyle w:val="null3"/>
      </w:pPr>
      <w:r>
        <w:rPr>
          <w:rFonts w:ascii="仿宋_GB2312" w:hAnsi="仿宋_GB2312" w:cs="仿宋_GB2312" w:eastAsia="仿宋_GB2312"/>
        </w:rPr>
        <w:t>9、本项目为非专门面向中小企业采购项目：本项目为非专门面向中小企业采购项目；投标人应提交相关资格证明材料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富平县淡村镇人民政府（本级）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陕西省渭南市富平县淡村镇街道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711713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富平县淡村镇人民政府（本级）经办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0913-8910001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井工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15511636505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开户名称：宏睿鹏达项目管理有限公司富平分公司</w:t>
            </w:r>
          </w:p>
          <w:p>
            <w:pPr>
              <w:pStyle w:val="null3"/>
            </w:pPr>
            <w:r>
              <w:rPr>
                <w:rFonts w:ascii="仿宋_GB2312" w:hAnsi="仿宋_GB2312" w:cs="仿宋_GB2312" w:eastAsia="仿宋_GB2312"/>
              </w:rPr>
              <w:t>开户银行：中国建设银行股份有限公司富平县东新街支行</w:t>
            </w:r>
          </w:p>
          <w:p>
            <w:pPr>
              <w:pStyle w:val="null3"/>
            </w:pPr>
            <w:r>
              <w:rPr>
                <w:rFonts w:ascii="仿宋_GB2312" w:hAnsi="仿宋_GB2312" w:cs="仿宋_GB2312" w:eastAsia="仿宋_GB2312"/>
              </w:rPr>
              <w:t>银行账号：61050164831500002163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颁发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富平县淡村镇人民政府（本级）</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富平县淡村镇人民政府（本级）</w:t>
      </w:r>
      <w:r>
        <w:rPr>
          <w:rFonts w:ascii="仿宋_GB2312" w:hAnsi="仿宋_GB2312" w:cs="仿宋_GB2312" w:eastAsia="仿宋_GB2312"/>
        </w:rPr>
        <w:t>负责解释。除上述招标文件内容，其他内容由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富平县淡村镇人民政府（本级）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联系人：井工</w:t>
      </w:r>
    </w:p>
    <w:p>
      <w:pPr>
        <w:pStyle w:val="null3"/>
      </w:pPr>
      <w:r>
        <w:rPr>
          <w:rFonts w:ascii="仿宋_GB2312" w:hAnsi="仿宋_GB2312" w:cs="仿宋_GB2312" w:eastAsia="仿宋_GB2312"/>
        </w:rPr>
        <w:t>联系电话：15511636505</w:t>
      </w:r>
    </w:p>
    <w:p>
      <w:pPr>
        <w:pStyle w:val="null3"/>
      </w:pPr>
      <w:r>
        <w:rPr>
          <w:rFonts w:ascii="仿宋_GB2312" w:hAnsi="仿宋_GB2312" w:cs="仿宋_GB2312" w:eastAsia="仿宋_GB2312"/>
        </w:rPr>
        <w:t>地址：陕西省渭南市富平县频阳大道云创大厦811室</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采购节能鲜柿烘干房4台，型号ZN-HGF-5T。</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2025年富平县淡村镇沐梵柿子加工配套项目</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标的名称：2025年富平县淡村镇沐梵柿子加工配套项目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0"/>
              <w:gridCol w:w="617"/>
              <w:gridCol w:w="395"/>
              <w:gridCol w:w="903"/>
              <w:gridCol w:w="281"/>
            </w:tblGrid>
            <w:tr>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序号</w:t>
                  </w:r>
                </w:p>
              </w:tc>
              <w:tc>
                <w:tcPr>
                  <w:tcW w:type="dxa" w:w="6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设备名称</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数量</w:t>
                  </w:r>
                </w:p>
              </w:tc>
              <w:tc>
                <w:tcPr>
                  <w:tcW w:type="dxa" w:w="9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技术要求</w:t>
                  </w: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备注</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空气能热泵烘干机组</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8台</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、匹数：</w:t>
                  </w:r>
                  <w:r>
                    <w:rPr>
                      <w:rFonts w:ascii="仿宋_GB2312" w:hAnsi="仿宋_GB2312" w:cs="仿宋_GB2312" w:eastAsia="仿宋_GB2312"/>
                      <w:sz w:val="21"/>
                    </w:rPr>
                    <w:t>12</w:t>
                  </w:r>
                  <w:r>
                    <w:rPr>
                      <w:rFonts w:ascii="仿宋_GB2312" w:hAnsi="仿宋_GB2312" w:cs="仿宋_GB2312" w:eastAsia="仿宋_GB2312"/>
                      <w:sz w:val="21"/>
                    </w:rPr>
                    <w:t>P</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额定脱水率：</w:t>
                  </w:r>
                  <w:r>
                    <w:rPr>
                      <w:rFonts w:ascii="仿宋_GB2312" w:hAnsi="仿宋_GB2312" w:cs="仿宋_GB2312" w:eastAsia="仿宋_GB2312"/>
                      <w:sz w:val="21"/>
                    </w:rPr>
                    <w:t>42</w:t>
                  </w:r>
                  <w:r>
                    <w:rPr>
                      <w:rFonts w:ascii="仿宋_GB2312" w:hAnsi="仿宋_GB2312" w:cs="仿宋_GB2312" w:eastAsia="仿宋_GB2312"/>
                      <w:sz w:val="21"/>
                    </w:rPr>
                    <w:t>Kg</w:t>
                  </w:r>
                  <w:r>
                    <w:rPr>
                      <w:rFonts w:ascii="仿宋_GB2312" w:hAnsi="仿宋_GB2312" w:cs="仿宋_GB2312" w:eastAsia="仿宋_GB2312"/>
                      <w:sz w:val="21"/>
                    </w:rPr>
                    <w:t>/</w:t>
                  </w:r>
                  <w:r>
                    <w:rPr>
                      <w:rFonts w:ascii="仿宋_GB2312" w:hAnsi="仿宋_GB2312" w:cs="仿宋_GB2312" w:eastAsia="仿宋_GB2312"/>
                      <w:sz w:val="21"/>
                    </w:rPr>
                    <w:t>h</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、适用环境温度</w:t>
                  </w:r>
                  <w:r>
                    <w:rPr>
                      <w:rFonts w:ascii="仿宋_GB2312" w:hAnsi="仿宋_GB2312" w:cs="仿宋_GB2312" w:eastAsia="仿宋_GB2312"/>
                      <w:sz w:val="21"/>
                    </w:rPr>
                    <w:t>:-5-40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额定制热能力：</w:t>
                  </w:r>
                  <w:r>
                    <w:rPr>
                      <w:rFonts w:ascii="仿宋_GB2312" w:hAnsi="仿宋_GB2312" w:cs="仿宋_GB2312" w:eastAsia="仿宋_GB2312"/>
                      <w:sz w:val="21"/>
                    </w:rPr>
                    <w:t>38</w:t>
                  </w:r>
                  <w:r>
                    <w:rPr>
                      <w:rFonts w:ascii="仿宋_GB2312" w:hAnsi="仿宋_GB2312" w:cs="仿宋_GB2312" w:eastAsia="仿宋_GB2312"/>
                      <w:sz w:val="21"/>
                    </w:rPr>
                    <w:t>KW</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制冷剂：</w:t>
                  </w:r>
                  <w:r>
                    <w:rPr>
                      <w:rFonts w:ascii="仿宋_GB2312" w:hAnsi="仿宋_GB2312" w:cs="仿宋_GB2312" w:eastAsia="仿宋_GB2312"/>
                      <w:sz w:val="21"/>
                    </w:rPr>
                    <w:t>R22/</w:t>
                  </w:r>
                  <w:r>
                    <w:rPr>
                      <w:rFonts w:ascii="仿宋_GB2312" w:hAnsi="仿宋_GB2312" w:cs="仿宋_GB2312" w:eastAsia="仿宋_GB2312"/>
                      <w:sz w:val="21"/>
                    </w:rPr>
                    <w:t>R</w:t>
                  </w:r>
                  <w:r>
                    <w:rPr>
                      <w:rFonts w:ascii="仿宋_GB2312" w:hAnsi="仿宋_GB2312" w:cs="仿宋_GB2312" w:eastAsia="仿宋_GB2312"/>
                      <w:sz w:val="21"/>
                    </w:rPr>
                    <w:t>134</w:t>
                  </w:r>
                  <w:r>
                    <w:rPr>
                      <w:rFonts w:ascii="仿宋_GB2312" w:hAnsi="仿宋_GB2312" w:cs="仿宋_GB2312" w:eastAsia="仿宋_GB2312"/>
                      <w:sz w:val="21"/>
                    </w:rPr>
                    <w:t>a</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86万</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节能鲜柿烘干房</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4个</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、热源：空气能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、额定制热量：</w:t>
                  </w:r>
                  <w:r>
                    <w:rPr>
                      <w:rFonts w:ascii="仿宋_GB2312" w:hAnsi="仿宋_GB2312" w:cs="仿宋_GB2312" w:eastAsia="仿宋_GB2312"/>
                      <w:sz w:val="21"/>
                    </w:rPr>
                    <w:t>76KW</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、烘干房热效率：≧</w:t>
                  </w:r>
                  <w:r>
                    <w:rPr>
                      <w:rFonts w:ascii="仿宋_GB2312" w:hAnsi="仿宋_GB2312" w:cs="仿宋_GB2312" w:eastAsia="仿宋_GB2312"/>
                      <w:sz w:val="21"/>
                    </w:rPr>
                    <w:t>6</w:t>
                  </w:r>
                  <w:r>
                    <w:rPr>
                      <w:rFonts w:ascii="仿宋_GB2312" w:hAnsi="仿宋_GB2312" w:cs="仿宋_GB2312" w:eastAsia="仿宋_GB2312"/>
                      <w:sz w:val="21"/>
                    </w:rPr>
                    <w:t>0%</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、运行控制方式：智能加热、恒温、除湿</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、烘干房有效工作尺寸：≧</w:t>
                  </w:r>
                  <w:r>
                    <w:rPr>
                      <w:rFonts w:ascii="仿宋_GB2312" w:hAnsi="仿宋_GB2312" w:cs="仿宋_GB2312" w:eastAsia="仿宋_GB2312"/>
                      <w:sz w:val="21"/>
                    </w:rPr>
                    <w:t>10000x2800x2600mm</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、鲜柿单次进料：</w:t>
                  </w:r>
                  <w:r>
                    <w:rPr>
                      <w:rFonts w:ascii="仿宋_GB2312" w:hAnsi="仿宋_GB2312" w:cs="仿宋_GB2312" w:eastAsia="仿宋_GB2312"/>
                      <w:sz w:val="21"/>
                    </w:rPr>
                    <w:t>5000Kg</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、最高设定温度：≧</w:t>
                  </w:r>
                  <w:r>
                    <w:rPr>
                      <w:rFonts w:ascii="仿宋_GB2312" w:hAnsi="仿宋_GB2312" w:cs="仿宋_GB2312" w:eastAsia="仿宋_GB2312"/>
                      <w:sz w:val="21"/>
                    </w:rPr>
                    <w:t>55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、保温层：</w:t>
                  </w:r>
                  <w:r>
                    <w:rPr>
                      <w:rFonts w:ascii="仿宋_GB2312" w:hAnsi="仿宋_GB2312" w:cs="仿宋_GB2312" w:eastAsia="仿宋_GB2312"/>
                      <w:sz w:val="21"/>
                    </w:rPr>
                    <w:t>100mm</w:t>
                  </w:r>
                  <w:r>
                    <w:rPr>
                      <w:rFonts w:ascii="仿宋_GB2312" w:hAnsi="仿宋_GB2312" w:cs="仿宋_GB2312" w:eastAsia="仿宋_GB2312"/>
                      <w:sz w:val="21"/>
                    </w:rPr>
                    <w:t>厚聚氨酯</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、保湿板内外材料：</w:t>
                  </w:r>
                  <w:r>
                    <w:rPr>
                      <w:rFonts w:ascii="仿宋_GB2312" w:hAnsi="仿宋_GB2312" w:cs="仿宋_GB2312" w:eastAsia="仿宋_GB2312"/>
                      <w:sz w:val="21"/>
                    </w:rPr>
                    <w:t>304</w:t>
                  </w:r>
                  <w:r>
                    <w:rPr>
                      <w:rFonts w:ascii="仿宋_GB2312" w:hAnsi="仿宋_GB2312" w:cs="仿宋_GB2312" w:eastAsia="仿宋_GB2312"/>
                      <w:sz w:val="21"/>
                    </w:rPr>
                    <w:t>不锈钢</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80万</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臭氧杀菌机</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4台</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1</w:t>
                  </w:r>
                  <w:r>
                    <w:rPr>
                      <w:rFonts w:ascii="仿宋_GB2312" w:hAnsi="仿宋_GB2312" w:cs="仿宋_GB2312" w:eastAsia="仿宋_GB2312"/>
                      <w:sz w:val="21"/>
                    </w:rPr>
                    <w:t>、空间消毒</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、臭氧产量</w:t>
                  </w:r>
                  <w:r>
                    <w:rPr>
                      <w:rFonts w:ascii="仿宋_GB2312" w:hAnsi="仿宋_GB2312" w:cs="仿宋_GB2312" w:eastAsia="仿宋_GB2312"/>
                      <w:sz w:val="21"/>
                    </w:rPr>
                    <w:t>20g/h</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2万</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控制器</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4套</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、人机操作</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寸触摸显示屏</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2万</w:t>
                  </w:r>
                </w:p>
              </w:tc>
            </w:tr>
            <w:tr>
              <w:tc>
                <w:tcPr>
                  <w:tcW w:type="dxa" w:w="3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相关配套</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循环风机</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1批</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国优</w:t>
                  </w:r>
                </w:p>
              </w:tc>
              <w:tc>
                <w:tcPr>
                  <w:tcW w:type="dxa" w:w="28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30万</w:t>
                  </w:r>
                </w:p>
              </w:tc>
            </w:tr>
            <w:tr>
              <w:tc>
                <w:tcPr>
                  <w:tcW w:type="dxa" w:w="340"/>
                  <w:vMerge/>
                  <w:tcBorders>
                    <w:top w:val="none" w:color="000000" w:sz="4"/>
                    <w:left w:val="single" w:color="000000" w:sz="4"/>
                    <w:bottom w:val="single" w:color="000000" w:sz="4"/>
                    <w:right w:val="single" w:color="000000" w:sz="4"/>
                  </w:tcBorders>
                </w:tc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排湿风机</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1批</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国优</w:t>
                  </w:r>
                </w:p>
              </w:tc>
              <w:tc>
                <w:tcPr>
                  <w:tcW w:type="dxa" w:w="281"/>
                  <w:vMerge/>
                  <w:tcBorders>
                    <w:top w:val="none" w:color="000000" w:sz="4"/>
                    <w:left w:val="none" w:color="000000" w:sz="4"/>
                    <w:bottom w:val="none" w:color="000000" w:sz="4"/>
                    <w:right w:val="single" w:color="000000" w:sz="4"/>
                  </w:tcBorders>
                </w:tcPr>
                <w:p/>
              </w:tc>
            </w:tr>
            <w:tr>
              <w:tc>
                <w:tcPr>
                  <w:tcW w:type="dxa" w:w="340"/>
                  <w:vMerge/>
                  <w:tcBorders>
                    <w:top w:val="none" w:color="000000" w:sz="4"/>
                    <w:left w:val="single" w:color="000000" w:sz="4"/>
                    <w:bottom w:val="single" w:color="000000" w:sz="4"/>
                    <w:right w:val="single" w:color="000000" w:sz="4"/>
                  </w:tcBorders>
                </w:tc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线缆、桥架等</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1批</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国优</w:t>
                  </w:r>
                </w:p>
              </w:tc>
              <w:tc>
                <w:tcPr>
                  <w:tcW w:type="dxa" w:w="281"/>
                  <w:vMerge/>
                  <w:tcBorders>
                    <w:top w:val="none" w:color="000000" w:sz="4"/>
                    <w:left w:val="none" w:color="000000" w:sz="4"/>
                    <w:bottom w:val="none" w:color="000000" w:sz="4"/>
                    <w:right w:val="single" w:color="000000" w:sz="4"/>
                  </w:tcBorders>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自签订合同之日起60日历日内完成本项目。</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富平县</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双方完成合同签订后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初步验收合格后支付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审计完成后支付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质量保证金</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符合国家有关标准、规范要求，质量达到国家及行业现行验收规范合格标准。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要求经济索赔，并报请政府采购监督管理机关进行相应的行政处罚。采购人违约的，应当赔偿给成交供应商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复印件（法定代表人参加投标只须提供法定代表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依法缴纳税收和社会保障资金的相关材料，依法免税的供应商应具有税务部门出具的证明文件；依法不需要缴纳社会保障金的供应商，需具有社保部门出具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提供2023年度财务审计报告或投标前3个月内供应商基本账户银行出具的资信证明；供应商需在项目电子化交易系统中按要求上传相应证明文件并进行电子签章。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提供投标保证金交纳凭证；供应商需在项目电子化交易系统中按要求上传相应证明文件并进行电子签章。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本项目为非专门面向中小企业采购项目</w:t>
            </w:r>
          </w:p>
        </w:tc>
        <w:tc>
          <w:tcPr>
            <w:tcW w:type="dxa" w:w="3322"/>
          </w:tcPr>
          <w:p>
            <w:pPr>
              <w:pStyle w:val="null3"/>
            </w:pPr>
            <w:r>
              <w:rPr>
                <w:rFonts w:ascii="仿宋_GB2312" w:hAnsi="仿宋_GB2312" w:cs="仿宋_GB2312" w:eastAsia="仿宋_GB2312"/>
              </w:rPr>
              <w:t>本项目为非专门面向中小企业采购项目；投标人应提交相关资格证明材料</w:t>
            </w:r>
          </w:p>
        </w:tc>
        <w:tc>
          <w:tcPr>
            <w:tcW w:type="dxa" w:w="1661"/>
          </w:tcPr>
          <w:p>
            <w:pPr>
              <w:pStyle w:val="null3"/>
            </w:pPr>
            <w:r>
              <w:rPr>
                <w:rFonts w:ascii="仿宋_GB2312" w:hAnsi="仿宋_GB2312" w:cs="仿宋_GB2312" w:eastAsia="仿宋_GB2312"/>
              </w:rPr>
              <w:t>中小企业声明函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投标分项报价表.docx 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w:t>
            </w:r>
          </w:p>
        </w:tc>
        <w:tc>
          <w:tcPr>
            <w:tcW w:type="dxa" w:w="3322"/>
          </w:tcPr>
          <w:p>
            <w:pPr>
              <w:pStyle w:val="null3"/>
            </w:pPr>
            <w:r>
              <w:rPr>
                <w:rFonts w:ascii="仿宋_GB2312" w:hAnsi="仿宋_GB2312" w:cs="仿宋_GB2312" w:eastAsia="仿宋_GB2312"/>
              </w:rPr>
              <w:t>投标文件按照规定格式签字盖章。</w:t>
            </w:r>
          </w:p>
        </w:tc>
        <w:tc>
          <w:tcPr>
            <w:tcW w:type="dxa" w:w="1661"/>
          </w:tcPr>
          <w:p>
            <w:pPr>
              <w:pStyle w:val="null3"/>
            </w:pPr>
            <w:r>
              <w:rPr>
                <w:rFonts w:ascii="仿宋_GB2312" w:hAnsi="仿宋_GB2312" w:cs="仿宋_GB2312" w:eastAsia="仿宋_GB2312"/>
              </w:rPr>
              <w:t>开标一览表 中小企业声明函 承诺书.docx 商务应答表.docx 资格证明文件.docx 投标分项报价表.docx 投标函 业绩证明文件及响应方案说明.docx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投标文件投标有效期达到招标文件的要求。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供应商针对同一货物未递交两份或多份内容不同的投标文件，未出现选择性报价。</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开标一览表 投标分项报价表.docx 标的清单 商务应答表.docx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投标文件未附有采购人不能接受的条件</w:t>
            </w:r>
          </w:p>
        </w:tc>
        <w:tc>
          <w:tcPr>
            <w:tcW w:type="dxa" w:w="3322"/>
          </w:tcPr>
          <w:p>
            <w:pPr>
              <w:pStyle w:val="null3"/>
            </w:pPr>
            <w:r>
              <w:rPr>
                <w:rFonts w:ascii="仿宋_GB2312" w:hAnsi="仿宋_GB2312" w:cs="仿宋_GB2312" w:eastAsia="仿宋_GB2312"/>
              </w:rPr>
              <w:t>投标文件未附有采购人不能接受的条件。</w:t>
            </w:r>
          </w:p>
        </w:tc>
        <w:tc>
          <w:tcPr>
            <w:tcW w:type="dxa" w:w="1661"/>
          </w:tcPr>
          <w:p>
            <w:pPr>
              <w:pStyle w:val="null3"/>
            </w:pPr>
            <w:r>
              <w:rPr>
                <w:rFonts w:ascii="仿宋_GB2312" w:hAnsi="仿宋_GB2312" w:cs="仿宋_GB2312" w:eastAsia="仿宋_GB2312"/>
              </w:rPr>
              <w:t>开标一览表 投标分项报价表.docx 投标函 业绩证明文件及响应方案说明.docx 中小企业声明函 残疾人福利性单位声明函 标的清单 承诺书.docx 商务应答表.docx 产品技术参数表.docx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符合招标文件规定的其他实质性要求</w:t>
            </w:r>
          </w:p>
        </w:tc>
        <w:tc>
          <w:tcPr>
            <w:tcW w:type="dxa" w:w="3322"/>
          </w:tcPr>
          <w:p>
            <w:pPr>
              <w:pStyle w:val="null3"/>
            </w:pPr>
            <w:r>
              <w:rPr>
                <w:rFonts w:ascii="仿宋_GB2312" w:hAnsi="仿宋_GB2312" w:cs="仿宋_GB2312" w:eastAsia="仿宋_GB2312"/>
              </w:rPr>
              <w:t>符合招标文件规定的其他实质性要求。</w:t>
            </w:r>
          </w:p>
        </w:tc>
        <w:tc>
          <w:tcPr>
            <w:tcW w:type="dxa" w:w="1661"/>
          </w:tcPr>
          <w:p>
            <w:pPr>
              <w:pStyle w:val="null3"/>
            </w:pPr>
            <w:r>
              <w:rPr>
                <w:rFonts w:ascii="仿宋_GB2312" w:hAnsi="仿宋_GB2312" w:cs="仿宋_GB2312" w:eastAsia="仿宋_GB2312"/>
              </w:rPr>
              <w:t>开标一览表 投标分项报价表.docx 投标函 业绩证明文件及响应方案说明.docx 中小企业声明函 残疾人福利性单位声明函 标的清单 承诺书.docx 商务应答表.docx 产品技术参数表.docx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符合《中华人民共和国政府采购法》有关规定和招标纪律</w:t>
            </w:r>
          </w:p>
        </w:tc>
        <w:tc>
          <w:tcPr>
            <w:tcW w:type="dxa" w:w="3322"/>
          </w:tcPr>
          <w:p>
            <w:pPr>
              <w:pStyle w:val="null3"/>
            </w:pPr>
            <w:r>
              <w:rPr>
                <w:rFonts w:ascii="仿宋_GB2312" w:hAnsi="仿宋_GB2312" w:cs="仿宋_GB2312" w:eastAsia="仿宋_GB2312"/>
              </w:rPr>
              <w:t>符合《中华人民共和国政府采购法》有关规定和招标纪律。</w:t>
            </w:r>
          </w:p>
        </w:tc>
        <w:tc>
          <w:tcPr>
            <w:tcW w:type="dxa" w:w="1661"/>
          </w:tcPr>
          <w:p>
            <w:pPr>
              <w:pStyle w:val="null3"/>
            </w:pPr>
            <w:r>
              <w:rPr>
                <w:rFonts w:ascii="仿宋_GB2312" w:hAnsi="仿宋_GB2312" w:cs="仿宋_GB2312" w:eastAsia="仿宋_GB2312"/>
              </w:rPr>
              <w:t>开标一览表 投标分项报价表.docx 投标函 业绩证明文件及响应方案说明.docx 中小企业声明函 残疾人福利性单位声明函 标的清单 承诺书.docx 商务应答表.docx 产品技术参数表.docx 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货物技术参数指标</w:t>
            </w:r>
          </w:p>
        </w:tc>
        <w:tc>
          <w:tcPr>
            <w:tcW w:type="dxa" w:w="2492"/>
          </w:tcPr>
          <w:p>
            <w:pPr>
              <w:pStyle w:val="null3"/>
            </w:pPr>
            <w:r>
              <w:rPr>
                <w:rFonts w:ascii="仿宋_GB2312" w:hAnsi="仿宋_GB2312" w:cs="仿宋_GB2312" w:eastAsia="仿宋_GB2312"/>
              </w:rPr>
              <w:t>提供的货物技术参数指标需符合国家、行业技术标准，根据产品的选型，产品性能优良、精度高、可靠性强、技术先进，实验结果准确性高计7～10（含）分;产品性能较满足实验室要求，且实验结果准确性及可靠性较好计3～7（含）；产品性能基本满足实验室要求，实验结果准确性及可靠性一般，方便操作计0～3（含）分;本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①质量保障方案完整、可操作性强、细节考虑到位，且优于招标文件要求的计5～8（含）分。 ②货物证明文件较齐全，质量保障方案一般、有相对可操作性的计3～5（含）分。 ③货物证明文件不齐全，质量保障方案简单的计0～3（含）分.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项目实施方案，包括供货安排，仓储、运输、安装、对接、派送措施，人员安排等，具有全面性、可行性、针对性，方案明确，布局规范。本项满分8分。 ①实施方案完整、可操作性强、细节考虑到位，且优于招标文件要求的计5～8（含）分。 ②实施方案基本完整，有相对的可操作性，描述良好的计 3～5（含）分。 ③描述符合招标文件要求，内容一般的计0～3（含）分。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提供2022年1月1日以来供应商已完成同类项目的业绩，一份合同得3分，满分6分。需提供合同复印件，未按要求完整提供证明文件不得分。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证明售后服务</w:t>
            </w:r>
          </w:p>
        </w:tc>
        <w:tc>
          <w:tcPr>
            <w:tcW w:type="dxa" w:w="2492"/>
          </w:tcPr>
          <w:p>
            <w:pPr>
              <w:pStyle w:val="null3"/>
            </w:pPr>
            <w:r>
              <w:rPr>
                <w:rFonts w:ascii="仿宋_GB2312" w:hAnsi="仿宋_GB2312" w:cs="仿宋_GB2312" w:eastAsia="仿宋_GB2312"/>
              </w:rPr>
              <w:t>具有完善的售后服务保障体系，对交付时间内质量、人员到位情况、后期服务的响应时间（方案还应当包含不能完全履行售后服务时愿意接受相关处罚的承诺），售后服务方案合理、及时有效与实际需求相符合。本项满分8分。 ①售后服务方案完善计7～12（含）分；售后服务方案基本完善计3～7（含）分； ②售后服务一般计0～3（含）分。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针对本项目提供切实可行的培训方案，培训方案完整，能够列出详细的培训内容、培训方式等，确保使用人员能够独立操作，并进行简单故障排查处理，根据响应程度及可实施性计0～8分，本项满分8分。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针对本项目突发情况的应对措施及其他针对本项目的合理化建议。根据本项目特点制定有效的应急预案、应急处理措施并提供合理化建议，根据响应内容程度计0～8分,本项满分8分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总报价最低的供应商的价格为投标基准价，其价格分为满分。其他供应商的价格分统一按照下列公式计算：投标报价得分=（投标基准价/投标总报价）×价格权重（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15%的扣除，用扣除后的价格参加 评审。承接本项目的供应商符合相应条件时，给予15%的价格扣除，即：评标价=最后报价×（1-15%）;监狱企业与残疾人福利性单位视同小型、微型企业，享受同等价格扣除，当企业属性重复时，不重复价格扣除。 本项目对应的中小企业划分标准所属行业为：工业。根据《工业和信息化部、国家统计局、国家发展和改革委员会、财政部关于印发中小企业划型标准规定的通知》（工信部联企业〔2011〕300号）规定的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c>
        <w:tc>
          <w:tcPr>
            <w:tcW w:type="dxa" w:w="1661"/>
          </w:tcPr>
          <w:p>
            <w:pPr>
              <w:pStyle w:val="null3"/>
            </w:pPr>
            <w:r>
              <w:rPr>
                <w:rFonts w:ascii="仿宋_GB2312" w:hAnsi="仿宋_GB2312" w:cs="仿宋_GB2312" w:eastAsia="仿宋_GB2312"/>
              </w:rPr>
              <w:t>开标一览表 投标分项报价表.docx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详见附件：业绩证明文件及响应方案说明.docx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