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359"/>
        <w:spacing w:before="190" w:line="222" w:lineRule="auto"/>
        <w:outlineLvl w:val="0"/>
        <w:rPr>
          <w:rFonts w:ascii="SimHei" w:hAnsi="SimHei" w:eastAsia="SimHei" w:cs="SimHei"/>
          <w:sz w:val="42"/>
          <w:szCs w:val="42"/>
        </w:rPr>
      </w:pPr>
      <w:r>
        <w:rPr>
          <w:rFonts w:ascii="SimHei" w:hAnsi="SimHei" w:eastAsia="SimHei" w:cs="SimHei"/>
          <w:sz w:val="42"/>
          <w:szCs w:val="42"/>
          <w:b/>
          <w:bCs/>
          <w:spacing w:val="8"/>
        </w:rPr>
        <w:t>承诺书(格式自拟)</w:t>
      </w:r>
    </w:p>
    <w:p>
      <w:pPr>
        <w:ind w:left="623"/>
        <w:spacing w:before="170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11"/>
        </w:rPr>
        <w:t>(1)按时足额发放农民工工资；</w:t>
      </w:r>
    </w:p>
    <w:p>
      <w:pPr>
        <w:spacing w:line="313" w:lineRule="auto"/>
        <w:rPr>
          <w:rFonts w:ascii="Arial"/>
          <w:sz w:val="21"/>
        </w:rPr>
      </w:pPr>
      <w:r/>
    </w:p>
    <w:p>
      <w:pPr>
        <w:ind w:left="623"/>
        <w:spacing w:before="78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14"/>
        </w:rPr>
        <w:t>(2)不转包、不分包；</w:t>
      </w:r>
    </w:p>
    <w:p>
      <w:pPr>
        <w:spacing w:line="323" w:lineRule="auto"/>
        <w:rPr>
          <w:rFonts w:ascii="Arial"/>
          <w:sz w:val="21"/>
        </w:rPr>
      </w:pPr>
      <w:r/>
    </w:p>
    <w:p>
      <w:pPr>
        <w:ind w:left="623"/>
        <w:spacing w:before="78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4"/>
        </w:rPr>
        <w:t>(3)对付款方式、计划工期、磋商有效期、质量标准的承诺。</w:t>
      </w:r>
    </w:p>
    <w:sectPr>
      <w:pgSz w:w="11910" w:h="16840"/>
      <w:pgMar w:top="1431" w:right="1786" w:bottom="0" w:left="178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2025-06-11T22:13:21Z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2025-06-11T22:13:21</vt:filetime>
  </property>
  <property fmtid="{D5CDD505-2E9C-101B-9397-08002B2CF9AE}" pid="4" name="UsrData">
    <vt:lpwstr>68498f0009fcb0001f5e3686wl</vt:lpwstr>
  </property>
</Properties>
</file>