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版本号：HRPD-ZFCG-2025-01820250612001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2025年富平县淡村镇都村村集体经济产业园冻库购置项目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HRPD-ZFCG-2025-018</w:t>
      </w:r>
      <w:r>
        <w:br/>
      </w:r>
      <w:r>
        <w:br/>
      </w:r>
      <w:r>
        <w:br/>
      </w:r>
    </w:p>
    <w:p>
      <w:pPr>
        <w:pStyle w:val="null3"/>
        <w:jc w:val="center"/>
        <w:outlineLvl w:val="2"/>
      </w:pPr>
      <w:r>
        <w:rPr>
          <w:rFonts w:ascii="仿宋_GB2312" w:hAnsi="仿宋_GB2312" w:cs="仿宋_GB2312" w:eastAsia="仿宋_GB2312"/>
          <w:sz w:val="28"/>
          <w:b/>
        </w:rPr>
        <w:t>富平县淡村镇人民政府（本级）</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富平县淡村镇人民政府（本级）</w:t>
      </w:r>
      <w:r>
        <w:rPr>
          <w:rFonts w:ascii="仿宋_GB2312" w:hAnsi="仿宋_GB2312" w:cs="仿宋_GB2312" w:eastAsia="仿宋_GB2312"/>
        </w:rPr>
        <w:t>委托，拟对</w:t>
      </w:r>
      <w:r>
        <w:rPr>
          <w:rFonts w:ascii="仿宋_GB2312" w:hAnsi="仿宋_GB2312" w:cs="仿宋_GB2312" w:eastAsia="仿宋_GB2312"/>
        </w:rPr>
        <w:t>2025年富平县淡村镇都村村集体经济产业园冻库购置项目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HRPD-ZFCG-2025-018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2025年富平县淡村镇都村村集体经济产业园冻库购置项目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购置冷冻库一座等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复印件（法定代表人参加投标只须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6、投标保证金：提供投标保证金交纳凭证；供应商需在项目电子化交易系统中按要求上传相应证明文件并进行电子签章。</w:t>
      </w:r>
    </w:p>
    <w:p>
      <w:pPr>
        <w:pStyle w:val="null3"/>
      </w:pPr>
      <w:r>
        <w:rPr>
          <w:rFonts w:ascii="仿宋_GB2312" w:hAnsi="仿宋_GB2312" w:cs="仿宋_GB2312" w:eastAsia="仿宋_GB2312"/>
        </w:rPr>
        <w:t>7、信用截图：投标人未被列入“信用中国”网站（www.creditchina.gov.cn）中失信被执行人及重大税收违法失信主体，未被列入中国政府采购网（www.ccgp.gov.cn）政府采购严重违法失信行为记录名单</w:t>
      </w:r>
    </w:p>
    <w:p>
      <w:pPr>
        <w:pStyle w:val="null3"/>
      </w:pPr>
      <w:r>
        <w:rPr>
          <w:rFonts w:ascii="仿宋_GB2312" w:hAnsi="仿宋_GB2312" w:cs="仿宋_GB2312" w:eastAsia="仿宋_GB2312"/>
        </w:rPr>
        <w:t>8、非联合体投标：非联合体投标声明；供应商需在项目电子化交易系统中按要求上传相应证明文件并进行电子签章。</w:t>
      </w:r>
    </w:p>
    <w:p>
      <w:pPr>
        <w:pStyle w:val="null3"/>
      </w:pPr>
      <w:r>
        <w:rPr>
          <w:rFonts w:ascii="仿宋_GB2312" w:hAnsi="仿宋_GB2312" w:cs="仿宋_GB2312" w:eastAsia="仿宋_GB2312"/>
        </w:rPr>
        <w:t>9、本项目为非专门面向中小企业采购项目：本项目为非专门面向中小企业采购项目；投标人应提交相关资格证明材料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富平县淡村镇人民政府（本级）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陕西省渭南市富平县淡村镇街道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富平县淡村镇人民政府（本级）经办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0913-8910001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15511636505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开户名称：宏睿鹏达项目管理有限公司富平分公司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银行账号：61050164831500002163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富平县淡村镇人民政府（本级）</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富平县淡村镇人民政府（本级）</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富平县淡村镇人民政府（本级）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联系人：井工</w:t>
      </w:r>
    </w:p>
    <w:p>
      <w:pPr>
        <w:pStyle w:val="null3"/>
      </w:pPr>
      <w:r>
        <w:rPr>
          <w:rFonts w:ascii="仿宋_GB2312" w:hAnsi="仿宋_GB2312" w:cs="仿宋_GB2312" w:eastAsia="仿宋_GB2312"/>
        </w:rPr>
        <w:t>联系电话：15511636505</w:t>
      </w:r>
    </w:p>
    <w:p>
      <w:pPr>
        <w:pStyle w:val="null3"/>
      </w:pPr>
      <w:r>
        <w:rPr>
          <w:rFonts w:ascii="仿宋_GB2312" w:hAnsi="仿宋_GB2312" w:cs="仿宋_GB2312" w:eastAsia="仿宋_GB2312"/>
        </w:rPr>
        <w:t>地址：陕西省渭南市富平县频阳大道云创大厦811室</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购置1200m³，容量冷冻库一座，长24m，宽10m,高5m，冷冻库容量400吨等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2025年富平县淡村镇都村村集体经济产业园冻库购置项目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标的名称：2025年富平县淡村镇都村村集体经济产业园冻库购置项目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4"/>
              <w:gridCol w:w="563"/>
              <w:gridCol w:w="354"/>
              <w:gridCol w:w="899"/>
              <w:gridCol w:w="417"/>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设备名称</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8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技术要求</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备注</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购置</w:t>
                  </w:r>
                  <w:r>
                    <w:rPr>
                      <w:rFonts w:ascii="仿宋_GB2312" w:hAnsi="仿宋_GB2312" w:cs="仿宋_GB2312" w:eastAsia="仿宋_GB2312"/>
                      <w:sz w:val="21"/>
                      <w:color w:val="000000"/>
                    </w:rPr>
                    <w:t>1200m³容量冷冻库一座</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1200m³</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长</w:t>
                  </w:r>
                  <w:r>
                    <w:rPr>
                      <w:rFonts w:ascii="仿宋_GB2312" w:hAnsi="仿宋_GB2312" w:cs="仿宋_GB2312" w:eastAsia="仿宋_GB2312"/>
                      <w:sz w:val="21"/>
                      <w:color w:val="000000"/>
                    </w:rPr>
                    <w:t>24m,宽10m,高5m,冷冻库容量400吨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机组型号</w:t>
                  </w:r>
                  <w:r>
                    <w:rPr>
                      <w:rFonts w:ascii="仿宋_GB2312" w:hAnsi="仿宋_GB2312" w:cs="仿宋_GB2312" w:eastAsia="仿宋_GB2312"/>
                      <w:sz w:val="21"/>
                      <w:color w:val="000000"/>
                    </w:rPr>
                    <w:t>及数量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LHGD-100A92SLK</w:t>
                  </w:r>
                  <w:r>
                    <w:rPr>
                      <w:rFonts w:ascii="仿宋_GB2312" w:hAnsi="仿宋_GB2312" w:cs="仿宋_GB2312" w:eastAsia="仿宋_GB2312"/>
                      <w:sz w:val="21"/>
                      <w:color w:val="000000"/>
                    </w:rPr>
                    <w:t>，</w:t>
                  </w:r>
                  <w:r>
                    <w:rPr>
                      <w:rFonts w:ascii="仿宋_GB2312" w:hAnsi="仿宋_GB2312" w:cs="仿宋_GB2312" w:eastAsia="仿宋_GB2312"/>
                      <w:sz w:val="21"/>
                      <w:color w:val="000000"/>
                    </w:rPr>
                    <w:t>4套；</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380V</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制冷剂</w:t>
                  </w:r>
                  <w:r>
                    <w:rPr>
                      <w:rFonts w:ascii="仿宋_GB2312" w:hAnsi="仿宋_GB2312" w:cs="仿宋_GB2312" w:eastAsia="仿宋_GB2312"/>
                      <w:sz w:val="21"/>
                      <w:color w:val="000000"/>
                    </w:rPr>
                    <w:t>：</w:t>
                  </w:r>
                  <w:r>
                    <w:rPr>
                      <w:rFonts w:ascii="仿宋_GB2312" w:hAnsi="仿宋_GB2312" w:cs="仿宋_GB2312" w:eastAsia="仿宋_GB2312"/>
                      <w:sz w:val="21"/>
                      <w:color w:val="000000"/>
                    </w:rPr>
                    <w:t>R22</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风向</w:t>
                  </w:r>
                  <w:r>
                    <w:rPr>
                      <w:rFonts w:ascii="仿宋_GB2312" w:hAnsi="仿宋_GB2312" w:cs="仿宋_GB2312" w:eastAsia="仿宋_GB2312"/>
                      <w:sz w:val="21"/>
                      <w:color w:val="000000"/>
                    </w:rPr>
                    <w:t>：</w:t>
                  </w:r>
                  <w:r>
                    <w:rPr>
                      <w:rFonts w:ascii="仿宋_GB2312" w:hAnsi="仿宋_GB2312" w:cs="仿宋_GB2312" w:eastAsia="仿宋_GB2312"/>
                      <w:sz w:val="21"/>
                      <w:color w:val="000000"/>
                    </w:rPr>
                    <w:t>顶出风</w:t>
                  </w:r>
                  <w:r>
                    <w:rPr>
                      <w:rFonts w:ascii="仿宋_GB2312" w:hAnsi="仿宋_GB2312" w:cs="仿宋_GB2312" w:eastAsia="仿宋_GB2312"/>
                      <w:sz w:val="21"/>
                      <w:color w:val="000000"/>
                    </w:rPr>
                    <w:t>。</w:t>
                  </w:r>
                </w:p>
              </w:tc>
              <w:tc>
                <w:tcPr>
                  <w:tcW w:type="dxa" w:w="41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u w:val="single"/>
                    </w:rPr>
                    <w:t>95</w:t>
                  </w:r>
                  <w:r>
                    <w:rPr>
                      <w:rFonts w:ascii="仿宋_GB2312" w:hAnsi="仿宋_GB2312" w:cs="仿宋_GB2312" w:eastAsia="仿宋_GB2312"/>
                      <w:sz w:val="28"/>
                      <w:color w:val="000000"/>
                    </w:rPr>
                    <w:t>万</w:t>
                  </w:r>
                </w:p>
              </w:tc>
            </w:tr>
            <w:tr>
              <w:tc>
                <w:tcPr>
                  <w:tcW w:type="dxa" w:w="30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相关</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配套</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聚氨酯冷库保温板安装</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852.6㎡</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双层</w:t>
                  </w:r>
                  <w:r>
                    <w:rPr>
                      <w:rFonts w:ascii="仿宋_GB2312" w:hAnsi="仿宋_GB2312" w:cs="仿宋_GB2312" w:eastAsia="仿宋_GB2312"/>
                      <w:sz w:val="20"/>
                      <w:color w:val="000000"/>
                    </w:rPr>
                    <w:t>0.4彩钢板，B1级阻燃板150mm厚；</w:t>
                  </w:r>
                </w:p>
                <w:p>
                  <w:pPr>
                    <w:pStyle w:val="null3"/>
                    <w:numPr>
                      <w:ilvl w:val="0"/>
                      <w:numId w:val="1"/>
                    </w:numPr>
                    <w:jc w:val="left"/>
                  </w:pPr>
                  <w:r>
                    <w:rPr>
                      <w:rFonts w:ascii="仿宋_GB2312" w:hAnsi="仿宋_GB2312" w:cs="仿宋_GB2312" w:eastAsia="仿宋_GB2312"/>
                      <w:sz w:val="20"/>
                      <w:color w:val="000000"/>
                    </w:rPr>
                    <w:t>顶板</w:t>
                  </w:r>
                  <w:r>
                    <w:rPr>
                      <w:rFonts w:ascii="仿宋_GB2312" w:hAnsi="仿宋_GB2312" w:cs="仿宋_GB2312" w:eastAsia="仿宋_GB2312"/>
                      <w:sz w:val="20"/>
                      <w:color w:val="000000"/>
                    </w:rPr>
                    <w:t>20KG/㎡。</w:t>
                  </w:r>
                </w:p>
                <w:p>
                  <w:pPr>
                    <w:pStyle w:val="null3"/>
                    <w:jc w:val="center"/>
                  </w:pPr>
                </w:p>
              </w:tc>
              <w:tc>
                <w:tcPr>
                  <w:tcW w:type="dxa" w:w="417"/>
                  <w:vMerge/>
                  <w:tcBorders>
                    <w:top w:val="none" w:color="000000" w:sz="4"/>
                    <w:left w:val="none" w:color="000000" w:sz="4"/>
                    <w:bottom w:val="none" w:color="000000" w:sz="4"/>
                    <w:right w:val="single" w:color="000000" w:sz="4"/>
                  </w:tcBorders>
                </w:tcPr>
                <w:p/>
              </w:tc>
            </w:tr>
            <w:tr>
              <w:tc>
                <w:tcPr>
                  <w:tcW w:type="dxa" w:w="304"/>
                  <w:vMerge/>
                  <w:tcBorders>
                    <w:top w:val="none" w:color="000000" w:sz="4"/>
                    <w:left w:val="single" w:color="000000" w:sz="4"/>
                    <w:bottom w:val="non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挤塑保温层</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212.6㎡</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150mm厚挤塑板保温层</w:t>
                  </w:r>
                </w:p>
              </w:tc>
              <w:tc>
                <w:tcPr>
                  <w:tcW w:type="dxa" w:w="417"/>
                  <w:vMerge/>
                  <w:tcBorders>
                    <w:top w:val="none" w:color="000000" w:sz="4"/>
                    <w:left w:val="none" w:color="000000" w:sz="4"/>
                    <w:bottom w:val="none" w:color="000000" w:sz="4"/>
                    <w:right w:val="single" w:color="000000" w:sz="4"/>
                  </w:tcBorders>
                </w:tcPr>
                <w:p/>
              </w:tc>
            </w:tr>
            <w:tr>
              <w:tc>
                <w:tcPr>
                  <w:tcW w:type="dxa" w:w="304"/>
                  <w:vMerge/>
                  <w:tcBorders>
                    <w:top w:val="none" w:color="000000" w:sz="4"/>
                    <w:left w:val="single" w:color="000000" w:sz="4"/>
                    <w:bottom w:val="non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钢圈梁</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0.28吨</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w:t>
                  </w:r>
                  <w:r>
                    <w:rPr>
                      <w:rFonts w:ascii="仿宋_GB2312" w:hAnsi="仿宋_GB2312" w:cs="仿宋_GB2312" w:eastAsia="仿宋_GB2312"/>
                      <w:sz w:val="20"/>
                      <w:color w:val="000000"/>
                    </w:rPr>
                    <w:t>C50*2</w:t>
                  </w:r>
                </w:p>
              </w:tc>
              <w:tc>
                <w:tcPr>
                  <w:tcW w:type="dxa" w:w="417"/>
                  <w:vMerge/>
                  <w:tcBorders>
                    <w:top w:val="none" w:color="000000" w:sz="4"/>
                    <w:left w:val="none" w:color="000000" w:sz="4"/>
                    <w:bottom w:val="none" w:color="000000" w:sz="4"/>
                    <w:right w:val="single" w:color="000000" w:sz="4"/>
                  </w:tcBorders>
                </w:tcPr>
                <w:p/>
              </w:tc>
            </w:tr>
            <w:tr>
              <w:tc>
                <w:tcPr>
                  <w:tcW w:type="dxa" w:w="304"/>
                  <w:vMerge/>
                  <w:tcBorders>
                    <w:top w:val="none" w:color="000000" w:sz="4"/>
                    <w:left w:val="single" w:color="000000" w:sz="4"/>
                    <w:bottom w:val="non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控制箱</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1.冷库控制柜功率：7.5KW；</w:t>
                  </w:r>
                </w:p>
                <w:p>
                  <w:pPr>
                    <w:pStyle w:val="null3"/>
                    <w:jc w:val="left"/>
                  </w:pPr>
                  <w:r>
                    <w:rPr>
                      <w:rFonts w:ascii="仿宋_GB2312" w:hAnsi="仿宋_GB2312" w:cs="仿宋_GB2312" w:eastAsia="仿宋_GB2312"/>
                      <w:sz w:val="20"/>
                      <w:color w:val="000000"/>
                    </w:rPr>
                    <w:t>2.电源：380V/50HZ/10P</w:t>
                  </w:r>
                </w:p>
              </w:tc>
              <w:tc>
                <w:tcPr>
                  <w:tcW w:type="dxa" w:w="417"/>
                  <w:vMerge/>
                  <w:tcBorders>
                    <w:top w:val="none" w:color="000000" w:sz="4"/>
                    <w:left w:val="none" w:color="000000" w:sz="4"/>
                    <w:bottom w:val="none" w:color="000000" w:sz="4"/>
                    <w:right w:val="single" w:color="000000" w:sz="4"/>
                  </w:tcBorders>
                </w:tcPr>
                <w:p/>
              </w:tc>
            </w:tr>
            <w:tr>
              <w:tc>
                <w:tcPr>
                  <w:tcW w:type="dxa" w:w="304"/>
                  <w:vMerge/>
                  <w:tcBorders>
                    <w:top w:val="none" w:color="000000" w:sz="4"/>
                    <w:left w:val="single" w:color="000000" w:sz="4"/>
                    <w:bottom w:val="non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控制电缆</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150m</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型号、规格：</w:t>
                  </w:r>
                  <w:r>
                    <w:rPr>
                      <w:rFonts w:ascii="仿宋_GB2312" w:hAnsi="仿宋_GB2312" w:cs="仿宋_GB2312" w:eastAsia="仿宋_GB2312"/>
                      <w:sz w:val="20"/>
                      <w:color w:val="000000"/>
                    </w:rPr>
                    <w:t>ZC-YJV-4*50-SC80-FC</w:t>
                  </w:r>
                </w:p>
              </w:tc>
              <w:tc>
                <w:tcPr>
                  <w:tcW w:type="dxa" w:w="417"/>
                  <w:vMerge/>
                  <w:tcBorders>
                    <w:top w:val="none" w:color="000000" w:sz="4"/>
                    <w:left w:val="none" w:color="000000" w:sz="4"/>
                    <w:bottom w:val="none" w:color="000000" w:sz="4"/>
                    <w:right w:val="single" w:color="000000" w:sz="4"/>
                  </w:tcBorders>
                </w:tcPr>
                <w:p/>
              </w:tc>
            </w:tr>
            <w:tr>
              <w:tc>
                <w:tcPr>
                  <w:tcW w:type="dxa" w:w="304"/>
                  <w:vMerge/>
                  <w:tcBorders>
                    <w:top w:val="none" w:color="000000" w:sz="4"/>
                    <w:left w:val="single" w:color="000000" w:sz="4"/>
                    <w:bottom w:val="non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150m</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SC管DN80</w:t>
                  </w:r>
                </w:p>
              </w:tc>
              <w:tc>
                <w:tcPr>
                  <w:tcW w:type="dxa" w:w="417"/>
                  <w:vMerge/>
                  <w:tcBorders>
                    <w:top w:val="none" w:color="000000" w:sz="4"/>
                    <w:left w:val="none" w:color="000000" w:sz="4"/>
                    <w:bottom w:val="none" w:color="000000" w:sz="4"/>
                    <w:right w:val="single" w:color="000000" w:sz="4"/>
                  </w:tcBorders>
                </w:tcPr>
                <w:p/>
              </w:tc>
            </w:tr>
            <w:tr>
              <w:tc>
                <w:tcPr>
                  <w:tcW w:type="dxa" w:w="304"/>
                  <w:vMerge/>
                  <w:tcBorders>
                    <w:top w:val="none" w:color="000000" w:sz="4"/>
                    <w:left w:val="single" w:color="000000" w:sz="4"/>
                    <w:bottom w:val="non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铝排</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1800m</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3003防锈型材，铝排宽28mm，厚15mm</w:t>
                  </w:r>
                </w:p>
              </w:tc>
              <w:tc>
                <w:tcPr>
                  <w:tcW w:type="dxa" w:w="417"/>
                  <w:vMerge/>
                  <w:tcBorders>
                    <w:top w:val="none" w:color="000000" w:sz="4"/>
                    <w:left w:val="none" w:color="000000" w:sz="4"/>
                    <w:bottom w:val="non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自签订合同之日起45日历日内完成本项目</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双方完成合同签订后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初步验收合格后支付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审计完成后支付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质量保证金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符合国家有关标准、规范要求，质量达到国家及行业现行验收规范合格标准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要求经济索赔，并报请政府采购监督管理机关进行相应的行政处罚。采购人违约的，应当赔偿给成交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投标只须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投标人未被列入“信用中国”网站（www.creditchina.gov.cn）中失信被执行人及重大税收违法失信主体，未被列入中国政府采购网（www.ccgp.gov.cn）政府采购严重违法失信行为记录名单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本项目为非专门面向中小企业采购项目</w:t>
            </w:r>
          </w:p>
        </w:tc>
        <w:tc>
          <w:tcPr>
            <w:tcW w:type="dxa" w:w="3322"/>
          </w:tcPr>
          <w:p>
            <w:pPr>
              <w:pStyle w:val="null3"/>
            </w:pPr>
            <w:r>
              <w:rPr>
                <w:rFonts w:ascii="仿宋_GB2312" w:hAnsi="仿宋_GB2312" w:cs="仿宋_GB2312" w:eastAsia="仿宋_GB2312"/>
              </w:rPr>
              <w:t>本项目为非专门面向中小企业采购项目；投标人应提交相关资格证明材料</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中小企业声明函 承诺书.docx 商务应答表.docx 资格证明文件.docx 投标分项报价表.docx 投标函 业绩证明文件及响应方案说明.docx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供应商针对同一货物未递交两份或多份内容不同的投标文件，未出现选择性报价。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商务应答表.docx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中小企业声明函 承诺书.docx 商务应答表.docx 资格证明文件.docx 投标分项报价表.docx 投标函 业绩证明文件及响应方案说明.docx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中小企业声明函 承诺书.docx 商务应答表.docx 资格证明文件.docx 投标分项报价表.docx 投标函 业绩证明文件及响应方案说明.docx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投标分项报价表.docx 投标函 业绩证明文件及响应方案说明.docx 中小企业声明函 残疾人福利性单位声明函 标的清单 承诺书.docx 商务应答表.docx 产品技术参数表.docx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货物技术参数指标</w:t>
            </w:r>
          </w:p>
        </w:tc>
        <w:tc>
          <w:tcPr>
            <w:tcW w:type="dxa" w:w="2492"/>
          </w:tcPr>
          <w:p>
            <w:pPr>
              <w:pStyle w:val="null3"/>
            </w:pPr>
            <w:r>
              <w:rPr>
                <w:rFonts w:ascii="仿宋_GB2312" w:hAnsi="仿宋_GB2312" w:cs="仿宋_GB2312" w:eastAsia="仿宋_GB2312"/>
              </w:rPr>
              <w:t>提供的货物技术参数指标需符合国家、行业技术标准，根据产品的选型，产品性能优良、精度高、可靠性强、技术先进，实验结果准确性高计7～10（含）分;产品性能较满足实验室要求，且实验结果准确性及可靠性较好计3～7（含）；产品性能基本满足实验室要求，实验结果准确性及可靠性一般，方便操作计0～3（含）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①质量保障方案完整、可操作性强、细节考虑到位，且优于招标文件要求的计5～8（含）分。 ②货物证明文件较齐全，质量保障方案一般、有相对可操作性的计3～5（含）分。 ③货物证明文件不齐全，质量保障方案简单的计0～3（含）分.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目实施方案，包括供货安排，仓储、运输、安装、对接、派送措施，人员安排等，具有全面性、可行性、针对性，方案明确，布局规范。本项满分8分。 ①实施方案完整、可操作性强、细节考虑到位，且优于招标文件要求的计5～8（含）分。 ②实施方案基本完整，有相对的可操作性，描述良好的计 3～5（含）分。 ③描述符合招标文件要求，内容一般的计0～3（含）分。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提供2022年1月1日以来供应商已完成同类项目的业绩，一份合同得3分，满分6分。需提供合同复印件，未按要求完整提供证明文件不得分。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证明售后服务</w:t>
            </w:r>
          </w:p>
        </w:tc>
        <w:tc>
          <w:tcPr>
            <w:tcW w:type="dxa" w:w="2492"/>
          </w:tcPr>
          <w:p>
            <w:pPr>
              <w:pStyle w:val="null3"/>
            </w:pPr>
            <w:r>
              <w:rPr>
                <w:rFonts w:ascii="仿宋_GB2312" w:hAnsi="仿宋_GB2312" w:cs="仿宋_GB2312" w:eastAsia="仿宋_GB2312"/>
              </w:rPr>
              <w:t>具有完善的售后服务保障体系，对交付时间内质量、人员到位情况、后期服务的响应时间（方案还应当包含不能完全履行售后服务时愿意接受相关处罚的承诺），售后服务方案合理、及时有效与实际需求相符合。本项满分8分。 ①售后服务方案完善计7～12（含）分；售后服务方案基本完善计3～7（含）分； ②售后服务一般计0～3（含）分。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针对本项目提供切实可行的培训方案，培训方案完整，能够列出详细的培训内容、培训方式等，确保使用人员能够独立操作，并进行简单故障排查处理，根据响应程度及可实施性计0～8分，本项满分8分。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针对本项目突发情况的应对措施及其他针对本项目的合理化建议。根据本项目特点制定有效的应急预案、应急处理措施并提供合理化建议，根据响应内容程度计0～8分,本项满分8分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总报价最低的供应商的价格为投标基准价，其价格分为满分。其他供应商的价格分统一按照下列公式计算：投标报价得分=（投标基准价/投标总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 评审。承接本项目的供应商符合相应条件时，给予15%的价格扣除，即：评标价=最后报价×（1-15%）;监狱企业与残疾人福利性单位视同小型、微型企业，享受同等价格扣除，当企业属性重复时，不重复价格扣除。 本项目对应的中小企业划分标准所属行业为：工业。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详见附件：业绩证明文件及响应方案说明.docx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