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版本号：JYXZB2025-001（2）20250611001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2024年玉米一喷多促项目（二次）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JYXZB2025-001（2）</w:t>
      </w:r>
      <w:r>
        <w:br/>
      </w:r>
      <w:r>
        <w:br/>
      </w:r>
      <w:r>
        <w:br/>
      </w:r>
    </w:p>
    <w:p>
      <w:pPr>
        <w:pStyle w:val="null3"/>
        <w:jc w:val="center"/>
        <w:outlineLvl w:val="2"/>
      </w:pPr>
      <w:r>
        <w:rPr>
          <w:rFonts w:ascii="仿宋_GB2312" w:hAnsi="仿宋_GB2312" w:cs="仿宋_GB2312" w:eastAsia="仿宋_GB2312"/>
          <w:sz w:val="28"/>
          <w:b/>
        </w:rPr>
        <w:t>富平县农业农村局</w:t>
      </w:r>
    </w:p>
    <w:p>
      <w:pPr>
        <w:pStyle w:val="null3"/>
        <w:jc w:val="center"/>
        <w:outlineLvl w:val="2"/>
      </w:pPr>
      <w:r>
        <w:rPr>
          <w:rFonts w:ascii="仿宋_GB2312" w:hAnsi="仿宋_GB2312" w:cs="仿宋_GB2312" w:eastAsia="仿宋_GB2312"/>
          <w:sz w:val="28"/>
          <w:b/>
        </w:rPr>
        <w:t>陕西嘉昱昕项目管理有限公司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陕西嘉昱昕项目管理有限公司</w:t>
      </w:r>
      <w:r>
        <w:rPr>
          <w:rFonts w:ascii="仿宋_GB2312" w:hAnsi="仿宋_GB2312" w:cs="仿宋_GB2312" w:eastAsia="仿宋_GB2312"/>
        </w:rPr>
        <w:t>（以下简称“代理机构”）受</w:t>
      </w:r>
      <w:r>
        <w:rPr>
          <w:rFonts w:ascii="仿宋_GB2312" w:hAnsi="仿宋_GB2312" w:cs="仿宋_GB2312" w:eastAsia="仿宋_GB2312"/>
        </w:rPr>
        <w:t>富平县农业农村局</w:t>
      </w:r>
      <w:r>
        <w:rPr>
          <w:rFonts w:ascii="仿宋_GB2312" w:hAnsi="仿宋_GB2312" w:cs="仿宋_GB2312" w:eastAsia="仿宋_GB2312"/>
        </w:rPr>
        <w:t>委托，拟对</w:t>
      </w:r>
      <w:r>
        <w:rPr>
          <w:rFonts w:ascii="仿宋_GB2312" w:hAnsi="仿宋_GB2312" w:cs="仿宋_GB2312" w:eastAsia="仿宋_GB2312"/>
        </w:rPr>
        <w:t>2024年玉米一喷多促项目（二次）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JYXZB2025-001（2）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2024年玉米一喷多促项目（二次）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采购一批杀虫剂、杀菌剂、叶面肥、生长调节剂、抗旱保水剂等。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采购包1（2024年玉米一喷多促项目（二次））：属于专门面向中小企业采购。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w:t>
      </w:r>
    </w:p>
    <w:p>
      <w:pPr>
        <w:pStyle w:val="null3"/>
      </w:pPr>
      <w:r>
        <w:rPr>
          <w:rFonts w:ascii="仿宋_GB2312" w:hAnsi="仿宋_GB2312" w:cs="仿宋_GB2312" w:eastAsia="仿宋_GB2312"/>
        </w:rPr>
        <w:t>2、财务状况：提供具有财务审计资质单位出具的2024年度财务报告（至少包括资产负债表和利润表）或投标文件递交截止日期前六个月内其基本存款账户开户银行出具的资信证明及基本存款账户信息，其他组织和自然人提供银行出具的资信证明或财务报表</w:t>
      </w:r>
    </w:p>
    <w:p>
      <w:pPr>
        <w:pStyle w:val="null3"/>
      </w:pPr>
      <w:r>
        <w:rPr>
          <w:rFonts w:ascii="仿宋_GB2312" w:hAnsi="仿宋_GB2312" w:cs="仿宋_GB2312" w:eastAsia="仿宋_GB2312"/>
        </w:rPr>
        <w:t>3、税收缴纳证明：提供2024年1月1日以来至少任意一个月的缴纳凭据（依法免税的投标人应提供相关文件证明）</w:t>
      </w:r>
    </w:p>
    <w:p>
      <w:pPr>
        <w:pStyle w:val="null3"/>
      </w:pPr>
      <w:r>
        <w:rPr>
          <w:rFonts w:ascii="仿宋_GB2312" w:hAnsi="仿宋_GB2312" w:cs="仿宋_GB2312" w:eastAsia="仿宋_GB2312"/>
        </w:rPr>
        <w:t>4、社会保障资金缴纳证明：提供2024年1月1日以来至少任意一个月的社会保障资金的证明缴纳证明（社会保障资金缴存单据或社保机构开具的社会保险参保缴费情况证明等)，依法不需要缴纳社会保障资金的投标人应提供相关证明文件</w:t>
      </w:r>
    </w:p>
    <w:p>
      <w:pPr>
        <w:pStyle w:val="null3"/>
      </w:pPr>
      <w:r>
        <w:rPr>
          <w:rFonts w:ascii="仿宋_GB2312" w:hAnsi="仿宋_GB2312" w:cs="仿宋_GB2312" w:eastAsia="仿宋_GB2312"/>
        </w:rPr>
        <w:t>5、法定代表人授权委托书/法定代表人身份证明：法定代表人授权委托书（被授权人参加投标的，需提供法定代表人授权委托书和法定代表人身份证复印件及被授权人身份证复印件；法定代表人直接参加投标的只须提供法定代表人身份证明和法定代表人身份证复印件）</w:t>
      </w:r>
    </w:p>
    <w:p>
      <w:pPr>
        <w:pStyle w:val="null3"/>
      </w:pPr>
      <w:r>
        <w:rPr>
          <w:rFonts w:ascii="仿宋_GB2312" w:hAnsi="仿宋_GB2312" w:cs="仿宋_GB2312" w:eastAsia="仿宋_GB2312"/>
        </w:rPr>
        <w:t>6、承诺书：提供具有履行本合同所必需的设备和专业技术能力的承诺</w:t>
      </w:r>
    </w:p>
    <w:p>
      <w:pPr>
        <w:pStyle w:val="null3"/>
      </w:pPr>
      <w:r>
        <w:rPr>
          <w:rFonts w:ascii="仿宋_GB2312" w:hAnsi="仿宋_GB2312" w:cs="仿宋_GB2312" w:eastAsia="仿宋_GB2312"/>
        </w:rPr>
        <w:t>7、重大违法记录声明：参加本次政府采购活动前3年内在经营活动中没有重大违纪违法书面声明</w:t>
      </w:r>
    </w:p>
    <w:p>
      <w:pPr>
        <w:pStyle w:val="null3"/>
      </w:pPr>
      <w:r>
        <w:rPr>
          <w:rFonts w:ascii="仿宋_GB2312" w:hAnsi="仿宋_GB2312" w:cs="仿宋_GB2312" w:eastAsia="仿宋_GB2312"/>
        </w:rPr>
        <w:t>8、投标人提供的有效资质证件：投标人为生产厂家的须提供农药登记证、农药生产许可证、农药标准证；投标人为经销商的须提供农药经营许可证及生产厂家的农药登记证、农药生产许可证、农药标准证</w:t>
      </w:r>
    </w:p>
    <w:p>
      <w:pPr>
        <w:pStyle w:val="null3"/>
      </w:pPr>
      <w:r>
        <w:rPr>
          <w:rFonts w:ascii="仿宋_GB2312" w:hAnsi="仿宋_GB2312" w:cs="仿宋_GB2312" w:eastAsia="仿宋_GB2312"/>
        </w:rPr>
        <w:t>9、信用记录查询结果：投标人未被列入“信用中国”网站（www.creditchina.gov.cn）中失信被执行人及重大税收违法失信主体，未被列入中国政府采购网（www.ccgp.gov.cn）政府采购严重违法失信行为记录名单</w:t>
      </w:r>
    </w:p>
    <w:p>
      <w:pPr>
        <w:pStyle w:val="null3"/>
      </w:pPr>
      <w:r>
        <w:rPr>
          <w:rFonts w:ascii="仿宋_GB2312" w:hAnsi="仿宋_GB2312" w:cs="仿宋_GB2312" w:eastAsia="仿宋_GB2312"/>
        </w:rPr>
        <w:t>10、中小企业声明函：中小企业声明函（投标人应填写中小企业声明函并对真实性负责，残疾人福利性单位及监狱企业视同为小型、微型企业）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0913-8203048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陕西嘉昱昕项目管理有限公司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陕西省西安市碑林区陕西省西安市碑林区东关南街咸宁西路29号咸宁国际广场3单元1603室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王勃、范凯琳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18092596023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代理服务费收费标准：招标代理服务费收取参照国家计委颁布的《招标代理服务收费管理暂行 办法》（计价格[2002]1980号）和（发改办价格[2003]857号）货物类收费标准。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富平县农业农村局</w:t>
      </w:r>
      <w:r>
        <w:rPr>
          <w:rFonts w:ascii="仿宋_GB2312" w:hAnsi="仿宋_GB2312" w:cs="仿宋_GB2312" w:eastAsia="仿宋_GB2312"/>
        </w:rPr>
        <w:t>和</w:t>
      </w:r>
      <w:r>
        <w:rPr>
          <w:rFonts w:ascii="仿宋_GB2312" w:hAnsi="仿宋_GB2312" w:cs="仿宋_GB2312" w:eastAsia="仿宋_GB2312"/>
        </w:rPr>
        <w:t>陕西嘉昱昕项目管理有限公司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陕西嘉昱昕项目管理有限公司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陕西嘉昱昕项目管理有限公司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签订合同时约定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陕西嘉昱昕项目管理有限公司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陕西嘉昱昕项目管理有限公司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陕西嘉昱昕项目管理有限公司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联系人：范凯琳</w:t>
      </w:r>
    </w:p>
    <w:p>
      <w:pPr>
        <w:pStyle w:val="null3"/>
      </w:pPr>
      <w:r>
        <w:rPr>
          <w:rFonts w:ascii="仿宋_GB2312" w:hAnsi="仿宋_GB2312" w:cs="仿宋_GB2312" w:eastAsia="仿宋_GB2312"/>
        </w:rPr>
        <w:t>联系电话：18092596023</w:t>
      </w:r>
    </w:p>
    <w:p>
      <w:pPr>
        <w:pStyle w:val="null3"/>
      </w:pPr>
      <w:r>
        <w:rPr>
          <w:rFonts w:ascii="仿宋_GB2312" w:hAnsi="仿宋_GB2312" w:cs="仿宋_GB2312" w:eastAsia="仿宋_GB2312"/>
        </w:rPr>
        <w:t>地址：西安市碑林区咸宁西路29号咸宁广场3单元1603室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采购一批杀虫剂、杀菌剂、叶面肥、生长调节剂、抗旱保水剂等。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1,150,000.00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2024年玉米一喷多促项目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标的名称：2024年玉米一喷多促项目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杀虫剂</w:t>
            </w:r>
            <w:r>
              <w:rPr>
                <w:rFonts w:ascii="仿宋_GB2312" w:hAnsi="仿宋_GB2312" w:cs="仿宋_GB2312" w:eastAsia="仿宋_GB2312"/>
                <w:sz w:val="21"/>
              </w:rPr>
              <w:t>1：</w:t>
            </w:r>
            <w:r>
              <w:rPr>
                <w:rFonts w:ascii="仿宋_GB2312" w:hAnsi="仿宋_GB2312" w:cs="仿宋_GB2312" w:eastAsia="仿宋_GB2312"/>
                <w:sz w:val="21"/>
              </w:rPr>
              <w:t>按农业部登记药剂的推荐剂量，计</w:t>
            </w:r>
            <w:r>
              <w:rPr>
                <w:rFonts w:ascii="仿宋_GB2312" w:hAnsi="仿宋_GB2312" w:cs="仿宋_GB2312" w:eastAsia="仿宋_GB2312"/>
                <w:sz w:val="21"/>
              </w:rPr>
              <w:t>11.5万亩；</w:t>
            </w:r>
            <w:r>
              <w:rPr>
                <w:rFonts w:ascii="仿宋_GB2312" w:hAnsi="仿宋_GB2312" w:cs="仿宋_GB2312" w:eastAsia="仿宋_GB2312"/>
                <w:sz w:val="21"/>
              </w:rPr>
              <w:t>在作物上应用安全，防治蚜虫、红蜘蛛，有效成分不低于</w:t>
            </w:r>
            <w:r>
              <w:rPr>
                <w:rFonts w:ascii="仿宋_GB2312" w:hAnsi="仿宋_GB2312" w:cs="仿宋_GB2312" w:eastAsia="仿宋_GB2312"/>
                <w:sz w:val="21"/>
              </w:rPr>
              <w:t>20%</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杀虫剂2：按农业部登记药剂的推荐剂量，计11.5万亩；在作物上应用安全，防治玉米黏虫、玉米螟、棉铃虫等害虫，有效成分不低于20%。</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杀菌剂：按农业部登记药剂的推荐剂量，计11.5万亩；在作物上应用安全，防治褐斑病大、小斑病等，有效成分不低于40%。</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叶面肥：按农业部登记的推荐剂量，计11.5万亩；在作物上应用的氨基酸或磷酸二氢钾水溶性叶面肥，氨基酸有效成份不低于 10%，磷酸二氢钾有效成分不低于98%。</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自合同签订之日起10日历天内完成。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货物运送到招标人指定地点，经招标人验收符合要求后，一次性付清合同总价款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项目供货完成后由招标人负责组织验收,验收合格须填写验收单。验收须以合同、投标文件、澄清及国家相应的标准、规范等为依据。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验收不合格的货物，供应商必须在接到通知后7个日历天内更换。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签订合同时约定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1、分支机构参与投标时，投标文件中应附法人出具的授权书；法人只能授权一家分支机构参与投标，且不能与分支机构同时参与投标； 分支机构须提供自己的资格要求证明文件。 2、因富平县农业技术推广中心属于富平县农业农村局的二级单位，在陕西省政府采购网无采购账号，本项目在招投标时，网站显示招标 人为富平县农业农村局，但实际招标人是富平县农业技术推广中心；供应商成交后合同签订主体为富平县农业技术推广中心。 3、化肥类只需提供生产厂家的肥料登记证）。 4、为顺利推进政府采购电子化交易平台应用工作，成交供应商需在领取中标通知书前线下递交纸质投标文件正本壹份、副本壹份。纸质投标文件正副本分别胶装，递交地址：西安市碑林区咸宁西路29号咸宁广场3单元1603室（纸质投标文件可邮寄，邮寄地址：西安市碑林区咸宁西路29号咸宁广场3单元1603室，联系人：范凯琳，联系电话18092596023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财务审计资质单位出具的2024年度财务报告（至少包括资产负债表和利润表）或投标文件递交截止日期前六个月内其基本存款账户开户银行出具的资信证明及基本存款账户信息，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提供2024年1月1日以来至少任意一个月的缴纳凭据（依法免税的投标人应提供相关文件证明）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提供2024年1月1日以来至少任意一个月的社会保障资金的证明缴纳证明（社会保障资金缴存单据或社保机构开具的社会保险参保缴费情况证明等)，依法不需要缴纳社会保障资金的投标人应提供相关证明文件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法定代表人授权委托书/法定代表人身份证明</w:t>
            </w:r>
          </w:p>
        </w:tc>
        <w:tc>
          <w:tcPr>
            <w:tcW w:type="dxa" w:w="3322"/>
          </w:tcPr>
          <w:p>
            <w:pPr>
              <w:pStyle w:val="null3"/>
            </w:pPr>
            <w:r>
              <w:rPr>
                <w:rFonts w:ascii="仿宋_GB2312" w:hAnsi="仿宋_GB2312" w:cs="仿宋_GB2312" w:eastAsia="仿宋_GB2312"/>
              </w:rPr>
              <w:t>法定代表人授权委托书（被授权人参加投标的，需提供法定代表人授权委托书和法定代表人身份证复印件及被授权人身份证复印件；法定代表人直接参加投标的只须提供法定代表人身份证明和法定代表人身份证复印件）</w:t>
            </w:r>
          </w:p>
        </w:tc>
        <w:tc>
          <w:tcPr>
            <w:tcW w:type="dxa" w:w="1661"/>
          </w:tcPr>
          <w:p>
            <w:pPr>
              <w:pStyle w:val="null3"/>
            </w:pPr>
            <w:r>
              <w:rPr>
                <w:rFonts w:ascii="仿宋_GB2312" w:hAnsi="仿宋_GB2312" w:cs="仿宋_GB2312" w:eastAsia="仿宋_GB2312"/>
              </w:rPr>
              <w:t>法定代表人身份证明书.docx 法定代表人授权委托书.docx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参加本次政府采购活动前3年内在经营活动中没有重大违纪违法书面声明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投标人提供的有效资质证件</w:t>
            </w:r>
          </w:p>
        </w:tc>
        <w:tc>
          <w:tcPr>
            <w:tcW w:type="dxa" w:w="3322"/>
          </w:tcPr>
          <w:p>
            <w:pPr>
              <w:pStyle w:val="null3"/>
            </w:pPr>
            <w:r>
              <w:rPr>
                <w:rFonts w:ascii="仿宋_GB2312" w:hAnsi="仿宋_GB2312" w:cs="仿宋_GB2312" w:eastAsia="仿宋_GB2312"/>
              </w:rPr>
              <w:t>投标人为生产厂家的须提供农药登记证、农药生产许可证、农药标准证；投标人为经销商的须提供农药经营许可证及生产厂家的农药登记证、农药生产许可证、农药标准证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投标人未被列入“信用中国”网站（www.creditchina.gov.cn）中失信被执行人及重大税收违法失信主体，未被列入中国政府采购网（www.ccgp.gov.cn）政府采购严重违法失信行为记录名单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中小企业声明函（投标人应填写中小企业声明函并对真实性负责，残疾人福利性单位及监狱企业视同为小型、微型企业）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投标文件的签署盖章、文件格式、投标报价</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技术方案.docx 中小企业声明函 商务应答表 企业业绩.docx 投标人应提交的相关资格证明材料 产品技术参数表 法定代表人身份证明书.docx 投标函 残疾人福利性单位声明函 标的清单 投标文件封面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投标文件组成、投标内容的完整性</w:t>
            </w:r>
          </w:p>
        </w:tc>
        <w:tc>
          <w:tcPr>
            <w:tcW w:type="dxa" w:w="3322"/>
          </w:tcPr>
          <w:p>
            <w:pPr>
              <w:pStyle w:val="null3"/>
            </w:pPr>
            <w:r>
              <w:rPr>
                <w:rFonts w:ascii="仿宋_GB2312" w:hAnsi="仿宋_GB2312" w:cs="仿宋_GB2312" w:eastAsia="仿宋_GB2312"/>
              </w:rPr>
              <w:t>是否按照招标文件给定的投标文件格式编写，无缺漏项或与要求不符</w:t>
            </w:r>
          </w:p>
        </w:tc>
        <w:tc>
          <w:tcPr>
            <w:tcW w:type="dxa" w:w="1661"/>
          </w:tcPr>
          <w:p>
            <w:pPr>
              <w:pStyle w:val="null3"/>
            </w:pPr>
            <w:r>
              <w:rPr>
                <w:rFonts w:ascii="仿宋_GB2312" w:hAnsi="仿宋_GB2312" w:cs="仿宋_GB2312" w:eastAsia="仿宋_GB2312"/>
              </w:rPr>
              <w:t>开标一览表 技术方案.docx 中小企业声明函 商务应答表 企业业绩.docx 投标人应提交的相关资格证明材料 产品技术参数表 法定代表人身份证明书.docx 投标函 残疾人福利性单位声明函 标的清单 投标文件封面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对招标文件响应程度、供货期、投标有效期</w:t>
            </w:r>
          </w:p>
        </w:tc>
        <w:tc>
          <w:tcPr>
            <w:tcW w:type="dxa" w:w="3322"/>
          </w:tcPr>
          <w:p>
            <w:pPr>
              <w:pStyle w:val="null3"/>
            </w:pPr>
            <w:r>
              <w:rPr>
                <w:rFonts w:ascii="仿宋_GB2312" w:hAnsi="仿宋_GB2312" w:cs="仿宋_GB2312" w:eastAsia="仿宋_GB2312"/>
              </w:rPr>
              <w:t>①响应程度是否要求全面响应，没有出现任何招标人不能接受的附加条件； ②供货期是否满足或优于招标文件中的要求； ③投标有效期满足招标文件中的规定</w:t>
            </w:r>
          </w:p>
        </w:tc>
        <w:tc>
          <w:tcPr>
            <w:tcW w:type="dxa" w:w="1661"/>
          </w:tcPr>
          <w:p>
            <w:pPr>
              <w:pStyle w:val="null3"/>
            </w:pPr>
            <w:r>
              <w:rPr>
                <w:rFonts w:ascii="仿宋_GB2312" w:hAnsi="仿宋_GB2312" w:cs="仿宋_GB2312" w:eastAsia="仿宋_GB2312"/>
              </w:rPr>
              <w:t>开标一览表 技术方案.docx 中小企业声明函 商务应答表 企业业绩.docx 投标人应提交的相关资格证明材料 产品技术参数表 法定代表人身份证明书.docx 投标函 残疾人福利性单位声明函 标的清单 投标文件封面 法定代表人授权委托书.docx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项目组织机构及人员岗位职责</w:t>
            </w:r>
          </w:p>
        </w:tc>
        <w:tc>
          <w:tcPr>
            <w:tcW w:type="dxa" w:w="2492"/>
          </w:tcPr>
          <w:p>
            <w:pPr>
              <w:pStyle w:val="null3"/>
            </w:pPr>
            <w:r>
              <w:rPr>
                <w:rFonts w:ascii="仿宋_GB2312" w:hAnsi="仿宋_GB2312" w:cs="仿宋_GB2312" w:eastAsia="仿宋_GB2312"/>
              </w:rPr>
              <w:t>针对本项目组织机构及人员安排，内容包括但不限于项目组织框架图、拟投入主要人员情况表、部门工作职能、人员岗位职责等。 ①内容完整全面、详细合理的计10.1-15分； ②内容有欠缺、较薄弱的计5.1-10分； ③内容有严重欠缺、薄弱的计1-5分； ④未提供项目实施方案不计分。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供货进度保障方案</w:t>
            </w:r>
          </w:p>
        </w:tc>
        <w:tc>
          <w:tcPr>
            <w:tcW w:type="dxa" w:w="2492"/>
          </w:tcPr>
          <w:p>
            <w:pPr>
              <w:pStyle w:val="null3"/>
            </w:pPr>
            <w:r>
              <w:rPr>
                <w:rFonts w:ascii="仿宋_GB2312" w:hAnsi="仿宋_GB2312" w:cs="仿宋_GB2312" w:eastAsia="仿宋_GB2312"/>
              </w:rPr>
              <w:t>针对本项目的进度保障方案，方案内容包含但不限于供货进度保证承诺、供货进度保障措施、供货时间保证措施、配送实施方案等。 ①内容完整全面、详细合理的计10.1-15分； ②内容有欠缺、较薄弱的计5.1-10分； ③内容有严重欠缺、薄弱的计1-5分； ④未提供方案的不计分。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针对本项目制定详细的质量保证措施，措施内容包含但不限于产品质量保障措施、服务质量保证措施、技术服务方案等。 ①内容完整全面、详细合理的计10.1-15分； ②内容有欠缺、较薄弱的计5.1-10分； ③内容有严重欠缺、薄弱的计1-5分； ④未提供方案的不计分。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针对本项目制定详细售后服务方案，方案内容包含但不限于售后服务管理体系、专业服务人员保障、响应时间等。 ①内容完整全面、详细合理的计10.1-15分； ②内容有欠缺、较薄弱的计5.1-10分； ③内容有严重欠缺、薄弱的计1-5分； ④未提供方案的不计分。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供应商类似供货业绩。以加盖公章的合同或中标通知书复印件为准，每份计1分，满分5分。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满足招标文件要求且投标报价最低的为评标基准价，其价格分为满分。 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详见附件：企业业绩.docx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