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综合评审索引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表</w:t>
      </w:r>
    </w:p>
    <w:tbl>
      <w:tblPr>
        <w:tblStyle w:val="6"/>
        <w:tblW w:w="8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9"/>
        <w:gridCol w:w="1261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评审项目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关联文件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关联文件对应页码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color w:val="0000FF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确保工程质量的技术组织措施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spacing w:line="50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spacing w:line="500" w:lineRule="exact"/>
              <w:ind w:left="0" w:leftChars="0" w:firstLine="0" w:firstLineChars="0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FF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确保安全生产的技术组织措施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确保文明施工的技术组织措施及环境保护措施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color w:val="0000FF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确保工期的技术组织措施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施工机械和材料投入计划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文物保护方案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施工方案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环境保护措施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施工机械配备和材料投入计划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施工进度表或施工网络图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劳动力安排计划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项目经理部组成人员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新技术、新产品、新工艺、新材料应用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方案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业绩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  <w:t>业绩合同</w:t>
            </w:r>
          </w:p>
        </w:tc>
        <w:tc>
          <w:tcPr>
            <w:tcW w:w="23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480" w:lineRule="auto"/>
        <w:ind w:firstLine="482" w:firstLineChars="200"/>
        <w:jc w:val="left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为了提高评审工作的效率及准确率，供应商应对以上索引表的准确性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4"/>
          <w:szCs w:val="24"/>
          <w:lang w:val="en-US" w:eastAsia="zh-CN"/>
        </w:rPr>
        <w:t>、合法性、正确性负责，保证“关联文件对应页码”准确无误，否则承担由此带来的评审不利后果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vertAlign w:val="baseline"/>
          <w:lang w:val="en-US" w:eastAsia="zh-CN" w:bidi="ar-SA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04F2902"/>
    <w:rsid w:val="604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2025-07-04T06:11:00Z</dcterms:created>
  <dc:creator>左左</dc:creator>
  <cp:lastModifiedBy>左左</cp:lastModifiedBy>
  <dcterms:modified xsi:type="dcterms:W3CDTF">2025-07-04T06:12:04Z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953D13728689451AB2C764EC18BE1A63_11</vt:lpwstr>
  </property>
</Properties>
</file>