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8D02D2D">
      <w:pPr>
        <w:pStyle w:val="2"/>
        <w:numPr>
          <w:ilvl w:val="0"/>
          <w:numId w:val="0"/>
        </w:numPr>
        <w:ind w:leftChars="0"/>
        <w:jc w:val="center"/>
        <w:rPr>
          <w:rFonts w:hint="eastAsia"/>
          <w:color w:val="000000" w:themeColor="text1"/>
          <w14:textFill>
            <w14:solidFill>
              <w14:schemeClr w14:val="tx1"/>
            </w14:solidFill>
          </w14:textFill>
        </w:rPr>
      </w:pPr>
      <w:bookmarkStart w:id="0" w:name="_Toc26624"/>
      <w:r>
        <w:rPr>
          <w:rFonts w:hint="eastAsia"/>
          <w:color w:val="000000" w:themeColor="text1"/>
          <w14:textFill>
            <w14:solidFill>
              <w14:schemeClr w14:val="tx1"/>
            </w14:solidFill>
          </w14:textFill>
        </w:rPr>
        <w:t>合同条款及格式</w:t>
      </w:r>
      <w:bookmarkEnd w:id="0"/>
    </w:p>
    <w:p w14:paraId="5494BF43">
      <w:pPr>
        <w:jc w:val="center"/>
        <w:rPr>
          <w:rFonts w:hint="eastAsia"/>
          <w:color w:val="000000" w:themeColor="text1"/>
          <w14:textFill>
            <w14:solidFill>
              <w14:schemeClr w14:val="tx1"/>
            </w14:solidFill>
          </w14:textFill>
        </w:rPr>
      </w:pPr>
      <w:r>
        <w:rPr>
          <w:rFonts w:hint="eastAsia"/>
          <w:b/>
          <w:color w:val="000000" w:themeColor="text1"/>
          <w:kern w:val="44"/>
          <w:sz w:val="28"/>
          <w:szCs w:val="28"/>
          <w:highlight w:val="none"/>
          <w14:textFill>
            <w14:solidFill>
              <w14:schemeClr w14:val="tx1"/>
            </w14:solidFill>
          </w14:textFill>
        </w:rPr>
        <w:t>（此合同为参考合同，具体以甲乙双方协商为准）</w:t>
      </w:r>
    </w:p>
    <w:p w14:paraId="74F3BEE4">
      <w:pPr>
        <w:spacing w:line="360" w:lineRule="auto"/>
        <w:ind w:firstLine="480" w:firstLineChars="200"/>
        <w:rPr>
          <w:color w:val="000000" w:themeColor="text1"/>
          <w:szCs w:val="24"/>
          <w:u w:val="single"/>
          <w14:textFill>
            <w14:solidFill>
              <w14:schemeClr w14:val="tx1"/>
            </w14:solidFill>
          </w14:textFill>
        </w:rPr>
      </w:pPr>
      <w:r>
        <w:rPr>
          <w:rFonts w:hint="eastAsia" w:ascii="宋体" w:hAnsi="宋体" w:cs="宋体"/>
          <w:color w:val="000000" w:themeColor="text1"/>
          <w:szCs w:val="24"/>
          <w:lang w:bidi="ar"/>
          <w14:textFill>
            <w14:solidFill>
              <w14:schemeClr w14:val="tx1"/>
            </w14:solidFill>
          </w14:textFill>
        </w:rPr>
        <w:t>甲方：</w:t>
      </w:r>
      <w:r>
        <w:rPr>
          <w:rFonts w:ascii="Calibri" w:hAnsi="Calibri"/>
          <w:color w:val="000000" w:themeColor="text1"/>
          <w:szCs w:val="24"/>
          <w:u w:val="single"/>
          <w:lang w:bidi="ar"/>
          <w14:textFill>
            <w14:solidFill>
              <w14:schemeClr w14:val="tx1"/>
            </w14:solidFill>
          </w14:textFill>
        </w:rPr>
        <w:t xml:space="preserve">             </w:t>
      </w:r>
    </w:p>
    <w:p w14:paraId="3D6A6A30">
      <w:pPr>
        <w:spacing w:line="360" w:lineRule="auto"/>
        <w:ind w:firstLine="480" w:firstLineChars="200"/>
        <w:rPr>
          <w:color w:val="000000" w:themeColor="text1"/>
          <w:szCs w:val="24"/>
          <w14:textFill>
            <w14:solidFill>
              <w14:schemeClr w14:val="tx1"/>
            </w14:solidFill>
          </w14:textFill>
        </w:rPr>
      </w:pPr>
      <w:r>
        <w:rPr>
          <w:rFonts w:hint="eastAsia" w:ascii="宋体" w:hAnsi="宋体" w:cs="宋体"/>
          <w:color w:val="000000" w:themeColor="text1"/>
          <w:szCs w:val="24"/>
          <w:lang w:bidi="ar"/>
          <w14:textFill>
            <w14:solidFill>
              <w14:schemeClr w14:val="tx1"/>
            </w14:solidFill>
          </w14:textFill>
        </w:rPr>
        <w:t>乙方：</w:t>
      </w:r>
      <w:r>
        <w:rPr>
          <w:rFonts w:ascii="Calibri" w:hAnsi="Calibri"/>
          <w:color w:val="000000" w:themeColor="text1"/>
          <w:szCs w:val="24"/>
          <w:u w:val="single"/>
          <w:lang w:bidi="ar"/>
          <w14:textFill>
            <w14:solidFill>
              <w14:schemeClr w14:val="tx1"/>
            </w14:solidFill>
          </w14:textFill>
        </w:rPr>
        <w:t xml:space="preserve">             </w:t>
      </w:r>
      <w:r>
        <w:rPr>
          <w:rFonts w:ascii="Calibri" w:hAnsi="Calibri"/>
          <w:color w:val="000000" w:themeColor="text1"/>
          <w:szCs w:val="24"/>
          <w:lang w:bidi="ar"/>
          <w14:textFill>
            <w14:solidFill>
              <w14:schemeClr w14:val="tx1"/>
            </w14:solidFill>
          </w14:textFill>
        </w:rPr>
        <w:t xml:space="preserve">  </w:t>
      </w:r>
    </w:p>
    <w:p w14:paraId="5E91162B">
      <w:pPr>
        <w:spacing w:line="360" w:lineRule="auto"/>
        <w:ind w:firstLine="480" w:firstLineChars="200"/>
        <w:rPr>
          <w:color w:val="000000" w:themeColor="text1"/>
          <w:szCs w:val="24"/>
          <w14:textFill>
            <w14:solidFill>
              <w14:schemeClr w14:val="tx1"/>
            </w14:solidFill>
          </w14:textFill>
        </w:rPr>
      </w:pPr>
      <w:r>
        <w:rPr>
          <w:rFonts w:hint="eastAsia" w:ascii="宋体" w:hAnsi="宋体" w:cs="宋体"/>
          <w:color w:val="000000" w:themeColor="text1"/>
          <w:szCs w:val="24"/>
          <w:lang w:bidi="ar"/>
          <w14:textFill>
            <w14:solidFill>
              <w14:schemeClr w14:val="tx1"/>
            </w14:solidFill>
          </w14:textFill>
        </w:rPr>
        <w:t>本着合作互利的原则</w:t>
      </w:r>
      <w:r>
        <w:rPr>
          <w:rFonts w:ascii="Calibri" w:hAnsi="Calibri"/>
          <w:color w:val="000000" w:themeColor="text1"/>
          <w:szCs w:val="24"/>
          <w:lang w:bidi="ar"/>
          <w14:textFill>
            <w14:solidFill>
              <w14:schemeClr w14:val="tx1"/>
            </w14:solidFill>
          </w14:textFill>
        </w:rPr>
        <w:t>,</w:t>
      </w:r>
      <w:r>
        <w:rPr>
          <w:rFonts w:hint="eastAsia" w:ascii="宋体" w:hAnsi="宋体" w:cs="宋体"/>
          <w:color w:val="000000" w:themeColor="text1"/>
          <w:szCs w:val="24"/>
          <w:lang w:bidi="ar"/>
          <w14:textFill>
            <w14:solidFill>
              <w14:schemeClr w14:val="tx1"/>
            </w14:solidFill>
          </w14:textFill>
        </w:rPr>
        <w:t>根据《中华人民共和国</w:t>
      </w:r>
      <w:r>
        <w:rPr>
          <w:rFonts w:hint="eastAsia" w:ascii="宋体" w:hAnsi="宋体" w:cs="宋体"/>
          <w:color w:val="000000" w:themeColor="text1"/>
          <w:szCs w:val="24"/>
          <w:lang w:val="en-US" w:eastAsia="zh-CN" w:bidi="ar"/>
          <w14:textFill>
            <w14:solidFill>
              <w14:schemeClr w14:val="tx1"/>
            </w14:solidFill>
          </w14:textFill>
        </w:rPr>
        <w:t>民法典</w:t>
      </w:r>
      <w:r>
        <w:rPr>
          <w:rFonts w:hint="eastAsia" w:ascii="宋体" w:hAnsi="宋体" w:cs="宋体"/>
          <w:color w:val="000000" w:themeColor="text1"/>
          <w:szCs w:val="24"/>
          <w:lang w:bidi="ar"/>
          <w14:textFill>
            <w14:solidFill>
              <w14:schemeClr w14:val="tx1"/>
            </w14:solidFill>
          </w14:textFill>
        </w:rPr>
        <w:t>》</w:t>
      </w:r>
      <w:r>
        <w:rPr>
          <w:rFonts w:ascii="Calibri" w:hAnsi="Calibri" w:cs="Calibri"/>
          <w:color w:val="000000" w:themeColor="text1"/>
          <w:szCs w:val="24"/>
          <w:lang w:bidi="ar"/>
          <w14:textFill>
            <w14:solidFill>
              <w14:schemeClr w14:val="tx1"/>
            </w14:solidFill>
          </w14:textFill>
        </w:rPr>
        <w:t>,</w:t>
      </w:r>
      <w:r>
        <w:rPr>
          <w:rFonts w:hint="eastAsia" w:ascii="宋体" w:hAnsi="宋体" w:cs="宋体"/>
          <w:color w:val="000000" w:themeColor="text1"/>
          <w:szCs w:val="24"/>
          <w:lang w:bidi="ar"/>
          <w14:textFill>
            <w14:solidFill>
              <w14:schemeClr w14:val="tx1"/>
            </w14:solidFill>
          </w14:textFill>
        </w:rPr>
        <w:t>经甲、乙双方协商就</w:t>
      </w:r>
      <w:r>
        <w:rPr>
          <w:rFonts w:ascii="Calibri" w:hAnsi="Calibri"/>
          <w:color w:val="000000" w:themeColor="text1"/>
          <w:szCs w:val="24"/>
          <w:u w:val="single"/>
          <w:lang w:bidi="ar"/>
          <w14:textFill>
            <w14:solidFill>
              <w14:schemeClr w14:val="tx1"/>
            </w14:solidFill>
          </w14:textFill>
        </w:rPr>
        <w:t xml:space="preserve">    </w:t>
      </w:r>
      <w:r>
        <w:rPr>
          <w:rFonts w:hint="eastAsia" w:ascii="宋体" w:hAnsi="宋体" w:cs="宋体"/>
          <w:color w:val="000000" w:themeColor="text1"/>
          <w:szCs w:val="24"/>
          <w:lang w:bidi="ar"/>
          <w14:textFill>
            <w14:solidFill>
              <w14:schemeClr w14:val="tx1"/>
            </w14:solidFill>
          </w14:textFill>
        </w:rPr>
        <w:t>事宜达成如下协议</w:t>
      </w:r>
      <w:r>
        <w:rPr>
          <w:rFonts w:ascii="Calibri" w:hAnsi="Calibri"/>
          <w:color w:val="000000" w:themeColor="text1"/>
          <w:szCs w:val="24"/>
          <w:lang w:bidi="ar"/>
          <w14:textFill>
            <w14:solidFill>
              <w14:schemeClr w14:val="tx1"/>
            </w14:solidFill>
          </w14:textFill>
        </w:rPr>
        <w:t>,</w:t>
      </w:r>
      <w:r>
        <w:rPr>
          <w:rFonts w:hint="eastAsia" w:ascii="宋体" w:hAnsi="宋体" w:cs="宋体"/>
          <w:color w:val="000000" w:themeColor="text1"/>
          <w:szCs w:val="24"/>
          <w:lang w:bidi="ar"/>
          <w14:textFill>
            <w14:solidFill>
              <w14:schemeClr w14:val="tx1"/>
            </w14:solidFill>
          </w14:textFill>
        </w:rPr>
        <w:t>供双方遵照执行。</w:t>
      </w:r>
    </w:p>
    <w:p w14:paraId="421AD9F5">
      <w:pPr>
        <w:spacing w:line="360" w:lineRule="auto"/>
        <w:rPr>
          <w:b/>
          <w:color w:val="000000" w:themeColor="text1"/>
          <w:szCs w:val="24"/>
          <w14:textFill>
            <w14:solidFill>
              <w14:schemeClr w14:val="tx1"/>
            </w14:solidFill>
          </w14:textFill>
        </w:rPr>
      </w:pPr>
      <w:r>
        <w:rPr>
          <w:rFonts w:hint="eastAsia" w:ascii="宋体" w:hAnsi="宋体" w:cs="宋体"/>
          <w:b/>
          <w:color w:val="000000" w:themeColor="text1"/>
          <w:szCs w:val="24"/>
          <w:lang w:bidi="ar"/>
          <w14:textFill>
            <w14:solidFill>
              <w14:schemeClr w14:val="tx1"/>
            </w14:solidFill>
          </w14:textFill>
        </w:rPr>
        <w:t>一、工程概况</w:t>
      </w:r>
    </w:p>
    <w:p w14:paraId="72493714">
      <w:pPr>
        <w:spacing w:line="360" w:lineRule="auto"/>
        <w:ind w:firstLine="480" w:firstLineChars="200"/>
        <w:rPr>
          <w:color w:val="000000" w:themeColor="text1"/>
          <w:szCs w:val="24"/>
          <w14:textFill>
            <w14:solidFill>
              <w14:schemeClr w14:val="tx1"/>
            </w14:solidFill>
          </w14:textFill>
        </w:rPr>
      </w:pPr>
      <w:r>
        <w:rPr>
          <w:rFonts w:hint="eastAsia" w:ascii="宋体" w:hAnsi="宋体" w:cs="宋体"/>
          <w:color w:val="000000" w:themeColor="text1"/>
          <w:szCs w:val="24"/>
          <w:lang w:bidi="ar"/>
          <w14:textFill>
            <w14:solidFill>
              <w14:schemeClr w14:val="tx1"/>
            </w14:solidFill>
          </w14:textFill>
        </w:rPr>
        <w:t>项目名称</w:t>
      </w:r>
      <w:r>
        <w:rPr>
          <w:rFonts w:ascii="Calibri" w:hAnsi="Calibri" w:cs="Calibri"/>
          <w:color w:val="000000" w:themeColor="text1"/>
          <w:szCs w:val="24"/>
          <w:lang w:bidi="ar"/>
          <w14:textFill>
            <w14:solidFill>
              <w14:schemeClr w14:val="tx1"/>
            </w14:solidFill>
          </w14:textFill>
        </w:rPr>
        <w:t xml:space="preserve">: </w:t>
      </w:r>
      <w:r>
        <w:rPr>
          <w:rFonts w:ascii="Calibri" w:hAnsi="宋体"/>
          <w:color w:val="000000" w:themeColor="text1"/>
          <w:szCs w:val="24"/>
          <w:u w:val="single"/>
          <w:lang w:bidi="ar"/>
          <w14:textFill>
            <w14:solidFill>
              <w14:schemeClr w14:val="tx1"/>
            </w14:solidFill>
          </w14:textFill>
        </w:rPr>
        <w:t xml:space="preserve">            </w:t>
      </w:r>
    </w:p>
    <w:p w14:paraId="215C5A58">
      <w:pPr>
        <w:spacing w:line="360" w:lineRule="auto"/>
        <w:ind w:firstLine="480" w:firstLineChars="200"/>
        <w:rPr>
          <w:rFonts w:hAnsi="宋体"/>
          <w:color w:val="000000" w:themeColor="text1"/>
          <w:szCs w:val="24"/>
          <w14:textFill>
            <w14:solidFill>
              <w14:schemeClr w14:val="tx1"/>
            </w14:solidFill>
          </w14:textFill>
        </w:rPr>
      </w:pPr>
      <w:r>
        <w:rPr>
          <w:rFonts w:hint="eastAsia" w:ascii="宋体" w:hAnsi="宋体" w:cs="宋体"/>
          <w:color w:val="000000" w:themeColor="text1"/>
          <w:szCs w:val="24"/>
          <w:lang w:bidi="ar"/>
          <w14:textFill>
            <w14:solidFill>
              <w14:schemeClr w14:val="tx1"/>
            </w14:solidFill>
          </w14:textFill>
        </w:rPr>
        <w:t>项目地点：</w:t>
      </w:r>
      <w:r>
        <w:rPr>
          <w:rFonts w:ascii="Calibri" w:hAnsi="宋体"/>
          <w:color w:val="000000" w:themeColor="text1"/>
          <w:szCs w:val="24"/>
          <w:u w:val="single"/>
          <w:lang w:bidi="ar"/>
          <w14:textFill>
            <w14:solidFill>
              <w14:schemeClr w14:val="tx1"/>
            </w14:solidFill>
          </w14:textFill>
        </w:rPr>
        <w:t xml:space="preserve">            </w:t>
      </w:r>
    </w:p>
    <w:p w14:paraId="7AE349E6">
      <w:pPr>
        <w:spacing w:line="360" w:lineRule="auto"/>
        <w:rPr>
          <w:color w:val="000000" w:themeColor="text1"/>
          <w:szCs w:val="24"/>
          <w14:textFill>
            <w14:solidFill>
              <w14:schemeClr w14:val="tx1"/>
            </w14:solidFill>
          </w14:textFill>
        </w:rPr>
      </w:pPr>
      <w:r>
        <w:rPr>
          <w:rFonts w:hint="eastAsia" w:ascii="宋体" w:hAnsi="宋体" w:cs="宋体"/>
          <w:b/>
          <w:color w:val="000000" w:themeColor="text1"/>
          <w:szCs w:val="24"/>
          <w:lang w:bidi="ar"/>
          <w14:textFill>
            <w14:solidFill>
              <w14:schemeClr w14:val="tx1"/>
            </w14:solidFill>
          </w14:textFill>
        </w:rPr>
        <w:t>二、合同工期</w:t>
      </w:r>
    </w:p>
    <w:p w14:paraId="54E0D6F4">
      <w:pPr>
        <w:spacing w:line="360" w:lineRule="auto"/>
        <w:ind w:firstLine="480" w:firstLineChars="200"/>
        <w:rPr>
          <w:color w:val="000000" w:themeColor="text1"/>
          <w:szCs w:val="24"/>
          <w:u w:val="single"/>
          <w14:textFill>
            <w14:solidFill>
              <w14:schemeClr w14:val="tx1"/>
            </w14:solidFill>
          </w14:textFill>
        </w:rPr>
      </w:pPr>
      <w:r>
        <w:rPr>
          <w:rFonts w:hint="eastAsia" w:ascii="宋体" w:hAnsi="宋体" w:cs="宋体"/>
          <w:color w:val="000000" w:themeColor="text1"/>
          <w:szCs w:val="24"/>
          <w:lang w:bidi="ar"/>
          <w14:textFill>
            <w14:solidFill>
              <w14:schemeClr w14:val="tx1"/>
            </w14:solidFill>
          </w14:textFill>
        </w:rPr>
        <w:t>开工日期：</w:t>
      </w:r>
      <w:r>
        <w:rPr>
          <w:rFonts w:ascii="Calibri" w:hAnsi="宋体"/>
          <w:color w:val="000000" w:themeColor="text1"/>
          <w:szCs w:val="24"/>
          <w:u w:val="single"/>
          <w:lang w:bidi="ar"/>
          <w14:textFill>
            <w14:solidFill>
              <w14:schemeClr w14:val="tx1"/>
            </w14:solidFill>
          </w14:textFill>
        </w:rPr>
        <w:t xml:space="preserve">                                </w:t>
      </w:r>
    </w:p>
    <w:p w14:paraId="6F2F0778">
      <w:pPr>
        <w:spacing w:line="360" w:lineRule="auto"/>
        <w:ind w:firstLine="480" w:firstLineChars="200"/>
        <w:rPr>
          <w:color w:val="000000" w:themeColor="text1"/>
          <w:szCs w:val="24"/>
          <w:u w:val="single"/>
          <w14:textFill>
            <w14:solidFill>
              <w14:schemeClr w14:val="tx1"/>
            </w14:solidFill>
          </w14:textFill>
        </w:rPr>
      </w:pPr>
      <w:r>
        <w:rPr>
          <w:rFonts w:hint="eastAsia" w:ascii="宋体" w:hAnsi="宋体" w:cs="宋体"/>
          <w:color w:val="000000" w:themeColor="text1"/>
          <w:szCs w:val="24"/>
          <w:lang w:bidi="ar"/>
          <w14:textFill>
            <w14:solidFill>
              <w14:schemeClr w14:val="tx1"/>
            </w14:solidFill>
          </w14:textFill>
        </w:rPr>
        <w:t>竣工日期：</w:t>
      </w:r>
      <w:r>
        <w:rPr>
          <w:rFonts w:ascii="Calibri" w:hAnsi="宋体"/>
          <w:color w:val="000000" w:themeColor="text1"/>
          <w:szCs w:val="24"/>
          <w:u w:val="single"/>
          <w:lang w:bidi="ar"/>
          <w14:textFill>
            <w14:solidFill>
              <w14:schemeClr w14:val="tx1"/>
            </w14:solidFill>
          </w14:textFill>
        </w:rPr>
        <w:t xml:space="preserve">                                </w:t>
      </w:r>
    </w:p>
    <w:p w14:paraId="3B603B1A">
      <w:pPr>
        <w:spacing w:line="360" w:lineRule="auto"/>
        <w:ind w:firstLine="480" w:firstLineChars="200"/>
        <w:rPr>
          <w:color w:val="000000" w:themeColor="text1"/>
          <w:szCs w:val="24"/>
          <w:u w:val="single"/>
          <w14:textFill>
            <w14:solidFill>
              <w14:schemeClr w14:val="tx1"/>
            </w14:solidFill>
          </w14:textFill>
        </w:rPr>
      </w:pPr>
      <w:r>
        <w:rPr>
          <w:rFonts w:hint="eastAsia" w:ascii="宋体" w:hAnsi="宋体" w:cs="宋体"/>
          <w:color w:val="000000" w:themeColor="text1"/>
          <w:szCs w:val="24"/>
          <w:lang w:bidi="ar"/>
          <w14:textFill>
            <w14:solidFill>
              <w14:schemeClr w14:val="tx1"/>
            </w14:solidFill>
          </w14:textFill>
        </w:rPr>
        <w:t>合同工期总日历天数：</w:t>
      </w:r>
      <w:r>
        <w:rPr>
          <w:rFonts w:ascii="Calibri" w:hAnsi="宋体"/>
          <w:color w:val="000000" w:themeColor="text1"/>
          <w:szCs w:val="24"/>
          <w:u w:val="single"/>
          <w:lang w:bidi="ar"/>
          <w14:textFill>
            <w14:solidFill>
              <w14:schemeClr w14:val="tx1"/>
            </w14:solidFill>
          </w14:textFill>
        </w:rPr>
        <w:t xml:space="preserve">      </w:t>
      </w:r>
      <w:r>
        <w:rPr>
          <w:rFonts w:hint="eastAsia" w:ascii="宋体" w:hAnsi="宋体" w:cs="宋体"/>
          <w:color w:val="000000" w:themeColor="text1"/>
          <w:szCs w:val="24"/>
          <w:lang w:bidi="ar"/>
          <w14:textFill>
            <w14:solidFill>
              <w14:schemeClr w14:val="tx1"/>
            </w14:solidFill>
          </w14:textFill>
        </w:rPr>
        <w:t>天</w:t>
      </w:r>
    </w:p>
    <w:p w14:paraId="0AADE80D">
      <w:pPr>
        <w:spacing w:line="360" w:lineRule="auto"/>
        <w:rPr>
          <w:b/>
          <w:color w:val="000000" w:themeColor="text1"/>
          <w:szCs w:val="24"/>
          <w14:textFill>
            <w14:solidFill>
              <w14:schemeClr w14:val="tx1"/>
            </w14:solidFill>
          </w14:textFill>
        </w:rPr>
      </w:pPr>
      <w:r>
        <w:rPr>
          <w:rFonts w:hint="eastAsia" w:ascii="宋体" w:hAnsi="宋体" w:cs="宋体"/>
          <w:b/>
          <w:color w:val="000000" w:themeColor="text1"/>
          <w:szCs w:val="24"/>
          <w:lang w:bidi="ar"/>
          <w14:textFill>
            <w14:solidFill>
              <w14:schemeClr w14:val="tx1"/>
            </w14:solidFill>
          </w14:textFill>
        </w:rPr>
        <w:t>三、工程内容及范围</w:t>
      </w:r>
    </w:p>
    <w:p w14:paraId="275A1EDE">
      <w:pPr>
        <w:spacing w:line="360" w:lineRule="auto"/>
        <w:ind w:firstLine="480" w:firstLineChars="200"/>
        <w:rPr>
          <w:color w:val="000000" w:themeColor="text1"/>
          <w:szCs w:val="24"/>
          <w:u w:val="single"/>
          <w14:textFill>
            <w14:solidFill>
              <w14:schemeClr w14:val="tx1"/>
            </w14:solidFill>
          </w14:textFill>
        </w:rPr>
      </w:pPr>
      <w:r>
        <w:rPr>
          <w:rFonts w:hint="eastAsia" w:ascii="宋体" w:hAnsi="宋体" w:cs="宋体"/>
          <w:color w:val="000000" w:themeColor="text1"/>
          <w:szCs w:val="24"/>
          <w:lang w:bidi="ar"/>
          <w14:textFill>
            <w14:solidFill>
              <w14:schemeClr w14:val="tx1"/>
            </w14:solidFill>
          </w14:textFill>
        </w:rPr>
        <w:t>工程内容：</w:t>
      </w:r>
      <w:r>
        <w:rPr>
          <w:rFonts w:ascii="Calibri" w:hAnsi="Calibri"/>
          <w:color w:val="000000" w:themeColor="text1"/>
          <w:szCs w:val="24"/>
          <w:u w:val="single"/>
          <w:lang w:bidi="ar"/>
          <w14:textFill>
            <w14:solidFill>
              <w14:schemeClr w14:val="tx1"/>
            </w14:solidFill>
          </w14:textFill>
        </w:rPr>
        <w:t xml:space="preserve">             </w:t>
      </w:r>
    </w:p>
    <w:p w14:paraId="704456BB">
      <w:pPr>
        <w:spacing w:line="360" w:lineRule="auto"/>
        <w:ind w:firstLine="480" w:firstLineChars="200"/>
        <w:rPr>
          <w:color w:val="000000" w:themeColor="text1"/>
          <w:szCs w:val="24"/>
          <w:u w:val="single"/>
          <w14:textFill>
            <w14:solidFill>
              <w14:schemeClr w14:val="tx1"/>
            </w14:solidFill>
          </w14:textFill>
        </w:rPr>
      </w:pPr>
      <w:r>
        <w:rPr>
          <w:rFonts w:hint="eastAsia" w:ascii="宋体" w:hAnsi="宋体" w:cs="宋体"/>
          <w:color w:val="000000" w:themeColor="text1"/>
          <w:szCs w:val="24"/>
          <w:lang w:bidi="ar"/>
          <w14:textFill>
            <w14:solidFill>
              <w14:schemeClr w14:val="tx1"/>
            </w14:solidFill>
          </w14:textFill>
        </w:rPr>
        <w:t>工程范围：</w:t>
      </w:r>
      <w:r>
        <w:rPr>
          <w:rFonts w:ascii="Calibri" w:hAnsi="Calibri"/>
          <w:color w:val="000000" w:themeColor="text1"/>
          <w:szCs w:val="24"/>
          <w:u w:val="single"/>
          <w:lang w:bidi="ar"/>
          <w14:textFill>
            <w14:solidFill>
              <w14:schemeClr w14:val="tx1"/>
            </w14:solidFill>
          </w14:textFill>
        </w:rPr>
        <w:t xml:space="preserve">             </w:t>
      </w:r>
    </w:p>
    <w:p w14:paraId="58526432">
      <w:pPr>
        <w:spacing w:line="360" w:lineRule="auto"/>
        <w:rPr>
          <w:color w:val="000000" w:themeColor="text1"/>
          <w:szCs w:val="24"/>
          <w14:textFill>
            <w14:solidFill>
              <w14:schemeClr w14:val="tx1"/>
            </w14:solidFill>
          </w14:textFill>
        </w:rPr>
      </w:pPr>
      <w:r>
        <w:rPr>
          <w:rFonts w:hint="eastAsia" w:ascii="宋体" w:hAnsi="宋体" w:cs="宋体"/>
          <w:b/>
          <w:color w:val="000000" w:themeColor="text1"/>
          <w:szCs w:val="24"/>
          <w:lang w:bidi="ar"/>
          <w14:textFill>
            <w14:solidFill>
              <w14:schemeClr w14:val="tx1"/>
            </w14:solidFill>
          </w14:textFill>
        </w:rPr>
        <w:t>四、质量标准</w:t>
      </w:r>
    </w:p>
    <w:p w14:paraId="6061ECF9">
      <w:pPr>
        <w:spacing w:line="360" w:lineRule="auto"/>
        <w:ind w:firstLine="480" w:firstLineChars="200"/>
        <w:rPr>
          <w:color w:val="000000" w:themeColor="text1"/>
          <w:szCs w:val="24"/>
          <w14:textFill>
            <w14:solidFill>
              <w14:schemeClr w14:val="tx1"/>
            </w14:solidFill>
          </w14:textFill>
        </w:rPr>
      </w:pPr>
      <w:r>
        <w:rPr>
          <w:rFonts w:hint="eastAsia" w:ascii="宋体" w:hAnsi="宋体" w:cs="宋体"/>
          <w:color w:val="000000" w:themeColor="text1"/>
          <w:szCs w:val="24"/>
          <w:lang w:bidi="ar"/>
          <w14:textFill>
            <w14:solidFill>
              <w14:schemeClr w14:val="tx1"/>
            </w14:solidFill>
          </w14:textFill>
        </w:rPr>
        <w:t>严格按照国家颁发的施工技术验收规范进行施工，质量应达到国家质量检验评定的合格标准。符合国家、省、市及甲方相关规范、标准和规定。</w:t>
      </w:r>
    </w:p>
    <w:p w14:paraId="488546F7">
      <w:pPr>
        <w:spacing w:line="360" w:lineRule="auto"/>
        <w:rPr>
          <w:color w:val="000000" w:themeColor="text1"/>
          <w:szCs w:val="24"/>
          <w14:textFill>
            <w14:solidFill>
              <w14:schemeClr w14:val="tx1"/>
            </w14:solidFill>
          </w14:textFill>
        </w:rPr>
      </w:pPr>
      <w:r>
        <w:rPr>
          <w:rFonts w:hint="eastAsia" w:ascii="宋体" w:hAnsi="宋体" w:cs="宋体"/>
          <w:b/>
          <w:color w:val="000000" w:themeColor="text1"/>
          <w:szCs w:val="24"/>
          <w:lang w:bidi="ar"/>
          <w14:textFill>
            <w14:solidFill>
              <w14:schemeClr w14:val="tx1"/>
            </w14:solidFill>
          </w14:textFill>
        </w:rPr>
        <w:t>五、合同价款</w:t>
      </w:r>
    </w:p>
    <w:p w14:paraId="01957605">
      <w:pPr>
        <w:spacing w:line="360" w:lineRule="auto"/>
        <w:ind w:firstLine="480" w:firstLineChars="200"/>
        <w:rPr>
          <w:rFonts w:hint="eastAsia" w:ascii="宋体" w:hAnsi="宋体" w:eastAsia="宋体" w:cs="宋体"/>
          <w:color w:val="000000" w:themeColor="text1"/>
          <w:szCs w:val="24"/>
          <w:lang w:eastAsia="zh-CN" w:bidi="ar"/>
          <w14:textFill>
            <w14:solidFill>
              <w14:schemeClr w14:val="tx1"/>
            </w14:solidFill>
          </w14:textFill>
        </w:rPr>
      </w:pPr>
      <w:r>
        <w:rPr>
          <w:rFonts w:ascii="Calibri" w:hAnsi="Calibri"/>
          <w:color w:val="000000" w:themeColor="text1"/>
          <w:szCs w:val="24"/>
          <w:lang w:bidi="ar"/>
          <w14:textFill>
            <w14:solidFill>
              <w14:schemeClr w14:val="tx1"/>
            </w14:solidFill>
          </w14:textFill>
        </w:rPr>
        <w:t>5.1</w:t>
      </w:r>
      <w:r>
        <w:rPr>
          <w:rFonts w:hint="eastAsia" w:ascii="宋体" w:hAnsi="宋体" w:cs="宋体"/>
          <w:color w:val="000000" w:themeColor="text1"/>
          <w:szCs w:val="24"/>
          <w:lang w:bidi="ar"/>
          <w14:textFill>
            <w14:solidFill>
              <w14:schemeClr w14:val="tx1"/>
            </w14:solidFill>
          </w14:textFill>
        </w:rPr>
        <w:t>、合同</w:t>
      </w:r>
      <w:r>
        <w:rPr>
          <w:rFonts w:hint="eastAsia" w:ascii="宋体" w:hAnsi="宋体" w:cs="宋体"/>
          <w:color w:val="000000" w:themeColor="text1"/>
          <w:szCs w:val="24"/>
          <w:lang w:eastAsia="zh-CN" w:bidi="ar"/>
          <w14:textFill>
            <w14:solidFill>
              <w14:schemeClr w14:val="tx1"/>
            </w14:solidFill>
          </w14:textFill>
        </w:rPr>
        <w:t>金额</w:t>
      </w:r>
      <w:r>
        <w:rPr>
          <w:rFonts w:hint="eastAsia" w:ascii="宋体" w:hAnsi="宋体" w:cs="宋体"/>
          <w:color w:val="000000" w:themeColor="text1"/>
          <w:szCs w:val="24"/>
          <w:lang w:bidi="ar"/>
          <w14:textFill>
            <w14:solidFill>
              <w14:schemeClr w14:val="tx1"/>
            </w14:solidFill>
          </w14:textFill>
        </w:rPr>
        <w:t>（大写）</w:t>
      </w:r>
      <w:r>
        <w:rPr>
          <w:rFonts w:hint="eastAsia" w:ascii="宋体" w:hAnsi="宋体" w:cs="宋体"/>
          <w:color w:val="000000" w:themeColor="text1"/>
          <w:szCs w:val="24"/>
          <w:lang w:eastAsia="zh-CN" w:bidi="ar"/>
          <w14:textFill>
            <w14:solidFill>
              <w14:schemeClr w14:val="tx1"/>
            </w14:solidFill>
          </w14:textFill>
        </w:rPr>
        <w:t>：人民币</w:t>
      </w:r>
      <w:r>
        <w:rPr>
          <w:rFonts w:ascii="Calibri" w:hAnsi="Calibri"/>
          <w:color w:val="000000" w:themeColor="text1"/>
          <w:szCs w:val="24"/>
          <w:u w:val="single"/>
          <w:lang w:bidi="ar"/>
          <w14:textFill>
            <w14:solidFill>
              <w14:schemeClr w14:val="tx1"/>
            </w14:solidFill>
          </w14:textFill>
        </w:rPr>
        <w:t xml:space="preserve">      </w:t>
      </w:r>
      <w:r>
        <w:rPr>
          <w:rFonts w:hint="eastAsia" w:ascii="宋体" w:hAnsi="宋体" w:cs="宋体"/>
          <w:color w:val="000000" w:themeColor="text1"/>
          <w:szCs w:val="24"/>
          <w:lang w:bidi="ar"/>
          <w14:textFill>
            <w14:solidFill>
              <w14:schemeClr w14:val="tx1"/>
            </w14:solidFill>
          </w14:textFill>
        </w:rPr>
        <w:t xml:space="preserve">  元</w:t>
      </w:r>
      <w:r>
        <w:rPr>
          <w:rFonts w:hint="eastAsia" w:ascii="宋体" w:hAnsi="宋体" w:cs="宋体"/>
          <w:color w:val="000000" w:themeColor="text1"/>
          <w:szCs w:val="24"/>
          <w:lang w:eastAsia="zh-CN" w:bidi="ar"/>
          <w14:textFill>
            <w14:solidFill>
              <w14:schemeClr w14:val="tx1"/>
            </w14:solidFill>
          </w14:textFill>
        </w:rPr>
        <w:t>，</w:t>
      </w:r>
      <w:r>
        <w:rPr>
          <w:rFonts w:hint="eastAsia" w:ascii="宋体" w:hAnsi="宋体" w:cs="宋体"/>
          <w:color w:val="000000" w:themeColor="text1"/>
          <w:szCs w:val="24"/>
          <w:lang w:bidi="ar"/>
          <w14:textFill>
            <w14:solidFill>
              <w14:schemeClr w14:val="tx1"/>
            </w14:solidFill>
          </w14:textFill>
        </w:rPr>
        <w:t xml:space="preserve"> (小写)</w:t>
      </w:r>
      <w:r>
        <w:rPr>
          <w:rFonts w:hint="eastAsia" w:ascii="宋体" w:hAnsi="宋体" w:cs="宋体"/>
          <w:color w:val="000000" w:themeColor="text1"/>
          <w:szCs w:val="24"/>
          <w:lang w:eastAsia="zh-CN" w:bidi="ar"/>
          <w14:textFill>
            <w14:solidFill>
              <w14:schemeClr w14:val="tx1"/>
            </w14:solidFill>
          </w14:textFill>
        </w:rPr>
        <w:t>：</w:t>
      </w:r>
      <w:r>
        <w:rPr>
          <w:rFonts w:hint="eastAsia" w:ascii="宋体" w:hAnsi="宋体" w:cs="宋体"/>
          <w:color w:val="000000" w:themeColor="text1"/>
          <w:szCs w:val="24"/>
          <w:lang w:bidi="ar"/>
          <w14:textFill>
            <w14:solidFill>
              <w14:schemeClr w14:val="tx1"/>
            </w14:solidFill>
          </w14:textFill>
        </w:rPr>
        <w:t>￥</w:t>
      </w:r>
      <w:r>
        <w:rPr>
          <w:rFonts w:ascii="Calibri" w:hAnsi="Calibri"/>
          <w:color w:val="000000" w:themeColor="text1"/>
          <w:szCs w:val="24"/>
          <w:u w:val="single"/>
          <w:lang w:bidi="ar"/>
          <w14:textFill>
            <w14:solidFill>
              <w14:schemeClr w14:val="tx1"/>
            </w14:solidFill>
          </w14:textFill>
        </w:rPr>
        <w:t xml:space="preserve">        </w:t>
      </w:r>
      <w:r>
        <w:rPr>
          <w:rFonts w:ascii="Calibri" w:hAnsi="Calibri"/>
          <w:color w:val="000000" w:themeColor="text1"/>
          <w:szCs w:val="24"/>
          <w:lang w:bidi="ar"/>
          <w14:textFill>
            <w14:solidFill>
              <w14:schemeClr w14:val="tx1"/>
            </w14:solidFill>
          </w14:textFill>
        </w:rPr>
        <w:t xml:space="preserve"> </w:t>
      </w:r>
      <w:r>
        <w:rPr>
          <w:rFonts w:hint="eastAsia" w:ascii="宋体" w:hAnsi="宋体" w:cs="宋体"/>
          <w:color w:val="000000" w:themeColor="text1"/>
          <w:szCs w:val="24"/>
          <w:lang w:bidi="ar"/>
          <w14:textFill>
            <w14:solidFill>
              <w14:schemeClr w14:val="tx1"/>
            </w14:solidFill>
          </w14:textFill>
        </w:rPr>
        <w:t>元</w:t>
      </w:r>
      <w:r>
        <w:rPr>
          <w:rFonts w:hint="eastAsia" w:ascii="宋体" w:hAnsi="宋体" w:cs="宋体"/>
          <w:color w:val="000000" w:themeColor="text1"/>
          <w:szCs w:val="24"/>
          <w:lang w:eastAsia="zh-CN" w:bidi="ar"/>
          <w14:textFill>
            <w14:solidFill>
              <w14:schemeClr w14:val="tx1"/>
            </w14:solidFill>
          </w14:textFill>
        </w:rPr>
        <w:t>；</w:t>
      </w:r>
    </w:p>
    <w:p w14:paraId="1A3B676F">
      <w:pPr>
        <w:spacing w:line="360" w:lineRule="auto"/>
        <w:ind w:firstLine="480" w:firstLineChars="200"/>
        <w:rPr>
          <w:rFonts w:hint="eastAsia" w:ascii="宋体" w:hAnsi="宋体" w:eastAsia="宋体" w:cs="宋体"/>
          <w:bCs/>
          <w:color w:val="000000" w:themeColor="text1"/>
          <w:sz w:val="24"/>
          <w:szCs w:val="24"/>
          <w:highlight w:val="none"/>
          <w:lang w:eastAsia="zh-CN"/>
          <w14:textFill>
            <w14:solidFill>
              <w14:schemeClr w14:val="tx1"/>
            </w14:solidFill>
          </w14:textFill>
        </w:rPr>
      </w:pPr>
      <w:r>
        <w:rPr>
          <w:rFonts w:ascii="Calibri" w:hAnsi="Calibri"/>
          <w:color w:val="000000" w:themeColor="text1"/>
          <w:szCs w:val="24"/>
          <w:lang w:bidi="ar"/>
          <w14:textFill>
            <w14:solidFill>
              <w14:schemeClr w14:val="tx1"/>
            </w14:solidFill>
          </w14:textFill>
        </w:rPr>
        <w:t>5.2</w:t>
      </w:r>
      <w:r>
        <w:rPr>
          <w:rFonts w:hint="eastAsia" w:ascii="宋体" w:hAnsi="宋体" w:cs="宋体"/>
          <w:color w:val="000000" w:themeColor="text1"/>
          <w:szCs w:val="24"/>
          <w:lang w:bidi="ar"/>
          <w14:textFill>
            <w14:solidFill>
              <w14:schemeClr w14:val="tx1"/>
            </w14:solidFill>
          </w14:textFill>
        </w:rPr>
        <w:t>、</w:t>
      </w:r>
      <w:r>
        <w:rPr>
          <w:rFonts w:hint="eastAsia" w:ascii="宋体" w:hAnsi="宋体" w:eastAsia="宋体" w:cs="宋体"/>
          <w:bCs/>
          <w:color w:val="000000" w:themeColor="text1"/>
          <w:sz w:val="24"/>
          <w:szCs w:val="24"/>
          <w:highlight w:val="none"/>
          <w14:textFill>
            <w14:solidFill>
              <w14:schemeClr w14:val="tx1"/>
            </w14:solidFill>
          </w14:textFill>
        </w:rPr>
        <w:t>本合同价款采用</w:t>
      </w:r>
      <w:r>
        <w:rPr>
          <w:rFonts w:hint="eastAsia" w:ascii="宋体" w:hAnsi="宋体" w:eastAsia="宋体" w:cs="宋体"/>
          <w:bCs/>
          <w:color w:val="000000" w:themeColor="text1"/>
          <w:sz w:val="24"/>
          <w:szCs w:val="24"/>
          <w:highlight w:val="none"/>
          <w:lang w:val="en-US" w:eastAsia="zh-CN"/>
          <w14:textFill>
            <w14:solidFill>
              <w14:schemeClr w14:val="tx1"/>
            </w14:solidFill>
          </w14:textFill>
        </w:rPr>
        <w:t>固定综合单价</w:t>
      </w:r>
      <w:r>
        <w:rPr>
          <w:rFonts w:hint="eastAsia" w:ascii="宋体" w:hAnsi="宋体" w:eastAsia="宋体" w:cs="宋体"/>
          <w:bCs/>
          <w:color w:val="000000" w:themeColor="text1"/>
          <w:sz w:val="24"/>
          <w:szCs w:val="24"/>
          <w:highlight w:val="none"/>
          <w14:textFill>
            <w14:solidFill>
              <w14:schemeClr w14:val="tx1"/>
            </w14:solidFill>
          </w14:textFill>
        </w:rPr>
        <w:t>合同方式确定</w:t>
      </w:r>
      <w:r>
        <w:rPr>
          <w:rFonts w:hint="eastAsia" w:ascii="宋体" w:hAnsi="宋体" w:eastAsia="宋体" w:cs="宋体"/>
          <w:bCs/>
          <w:color w:val="000000" w:themeColor="text1"/>
          <w:sz w:val="24"/>
          <w:szCs w:val="24"/>
          <w:highlight w:val="none"/>
          <w:lang w:eastAsia="zh-CN"/>
          <w14:textFill>
            <w14:solidFill>
              <w14:schemeClr w14:val="tx1"/>
            </w14:solidFill>
          </w14:textFill>
        </w:rPr>
        <w:t>。</w:t>
      </w:r>
    </w:p>
    <w:p w14:paraId="16FA5A76">
      <w:pPr>
        <w:pageBreakBefore w:val="0"/>
        <w:kinsoku/>
        <w:topLinePunct w:val="0"/>
        <w:bidi w:val="0"/>
        <w:spacing w:line="360" w:lineRule="auto"/>
        <w:ind w:firstLine="480" w:firstLineChars="200"/>
        <w:rPr>
          <w:rFonts w:hint="eastAsia" w:ascii="宋体" w:hAnsi="宋体" w:eastAsia="宋体" w:cs="宋体"/>
          <w:b/>
          <w:bCs/>
          <w:sz w:val="24"/>
          <w:szCs w:val="24"/>
        </w:rPr>
      </w:pPr>
      <w:r>
        <w:rPr>
          <w:rFonts w:hint="eastAsia" w:ascii="Calibri" w:hAnsi="Calibri" w:eastAsia="宋体"/>
          <w:color w:val="000000" w:themeColor="text1"/>
          <w:szCs w:val="24"/>
          <w:lang w:val="en-US" w:eastAsia="zh-CN" w:bidi="ar"/>
          <w14:textFill>
            <w14:solidFill>
              <w14:schemeClr w14:val="tx1"/>
            </w14:solidFill>
          </w14:textFill>
        </w:rPr>
        <w:t>5.3</w:t>
      </w:r>
      <w:r>
        <w:rPr>
          <w:rFonts w:hint="eastAsia" w:ascii="Calibri" w:hAnsi="Calibri" w:eastAsia="宋体"/>
          <w:color w:val="000000" w:themeColor="text1"/>
          <w:szCs w:val="24"/>
          <w:lang w:bidi="ar"/>
          <w14:textFill>
            <w14:solidFill>
              <w14:schemeClr w14:val="tx1"/>
            </w14:solidFill>
          </w14:textFill>
        </w:rPr>
        <w:t>、</w:t>
      </w:r>
      <w:r>
        <w:rPr>
          <w:rFonts w:hint="eastAsia" w:ascii="宋体" w:hAnsi="宋体" w:eastAsia="宋体" w:cs="宋体"/>
          <w:bCs/>
          <w:color w:val="000000" w:themeColor="text1"/>
          <w:sz w:val="24"/>
          <w:szCs w:val="24"/>
          <w:highlight w:val="none"/>
          <w14:textFill>
            <w14:solidFill>
              <w14:schemeClr w14:val="tx1"/>
            </w14:solidFill>
          </w14:textFill>
        </w:rPr>
        <w:t>付款方式</w:t>
      </w:r>
      <w:r>
        <w:rPr>
          <w:rFonts w:hint="eastAsia" w:ascii="宋体" w:hAnsi="宋体" w:eastAsia="宋体" w:cs="宋体"/>
          <w:bCs/>
          <w:color w:val="000000" w:themeColor="text1"/>
          <w:sz w:val="24"/>
          <w:szCs w:val="24"/>
          <w:highlight w:val="none"/>
          <w:lang w:eastAsia="zh-CN"/>
          <w14:textFill>
            <w14:solidFill>
              <w14:schemeClr w14:val="tx1"/>
            </w14:solidFill>
          </w14:textFill>
        </w:rPr>
        <w:t>：</w:t>
      </w:r>
      <w:r>
        <w:rPr>
          <w:rFonts w:hint="eastAsia" w:ascii="宋体" w:hAnsi="宋体" w:eastAsia="宋体" w:cs="宋体"/>
          <w:b/>
          <w:bCs/>
          <w:sz w:val="24"/>
          <w:szCs w:val="24"/>
        </w:rPr>
        <w:t>合同签订后，无特殊情况按施工进度付款，项目完工并经验收合格</w:t>
      </w:r>
      <w:r>
        <w:rPr>
          <w:rFonts w:hint="eastAsia" w:ascii="宋体" w:hAnsi="宋体" w:eastAsia="宋体" w:cs="宋体"/>
          <w:b/>
          <w:bCs/>
          <w:sz w:val="24"/>
          <w:szCs w:val="24"/>
          <w:lang w:eastAsia="zh-CN"/>
        </w:rPr>
        <w:t>、</w:t>
      </w:r>
      <w:r>
        <w:rPr>
          <w:rFonts w:hint="eastAsia" w:ascii="宋体" w:hAnsi="宋体" w:eastAsia="宋体" w:cs="宋体"/>
          <w:b/>
          <w:bCs/>
          <w:sz w:val="24"/>
          <w:szCs w:val="24"/>
          <w:lang w:val="en-US" w:eastAsia="zh-CN"/>
        </w:rPr>
        <w:t>审计</w:t>
      </w:r>
      <w:r>
        <w:rPr>
          <w:rFonts w:hint="eastAsia" w:ascii="宋体" w:hAnsi="宋体" w:eastAsia="宋体" w:cs="宋体"/>
          <w:b/>
          <w:bCs/>
          <w:sz w:val="24"/>
          <w:szCs w:val="24"/>
        </w:rPr>
        <w:t>后无特殊情况付至</w:t>
      </w:r>
      <w:r>
        <w:rPr>
          <w:rFonts w:hint="eastAsia" w:ascii="宋体" w:hAnsi="宋体" w:eastAsia="宋体" w:cs="宋体"/>
          <w:b/>
          <w:bCs/>
          <w:sz w:val="24"/>
          <w:szCs w:val="24"/>
          <w:lang w:val="en-US" w:eastAsia="zh-CN"/>
        </w:rPr>
        <w:t>审定金额的</w:t>
      </w:r>
      <w:r>
        <w:rPr>
          <w:rFonts w:hint="eastAsia" w:ascii="宋体" w:hAnsi="宋体" w:eastAsia="宋体" w:cs="宋体"/>
          <w:b/>
          <w:bCs/>
          <w:sz w:val="24"/>
          <w:szCs w:val="24"/>
        </w:rPr>
        <w:t xml:space="preserve">97%，剩余3%待质保期满后无任何质量问题无特殊情况付清所有款项。 </w:t>
      </w:r>
    </w:p>
    <w:p w14:paraId="3DEAA56E">
      <w:pPr>
        <w:spacing w:line="360" w:lineRule="auto"/>
        <w:ind w:firstLine="482" w:firstLineChars="200"/>
        <w:rPr>
          <w:rFonts w:hint="eastAsia" w:ascii="Calibri" w:hAnsi="Calibri"/>
          <w:color w:val="000000" w:themeColor="text1"/>
          <w:szCs w:val="24"/>
          <w:lang w:val="en-US" w:eastAsia="zh-CN" w:bidi="ar"/>
          <w14:textFill>
            <w14:solidFill>
              <w14:schemeClr w14:val="tx1"/>
            </w14:solidFill>
          </w14:textFill>
        </w:rPr>
      </w:pPr>
      <w:r>
        <w:rPr>
          <w:rFonts w:ascii="Calibri" w:hAnsi="Calibri"/>
          <w:b/>
          <w:bCs/>
          <w:color w:val="000000" w:themeColor="text1"/>
          <w:szCs w:val="24"/>
          <w:lang w:bidi="ar"/>
          <w14:textFill>
            <w14:solidFill>
              <w14:schemeClr w14:val="tx1"/>
            </w14:solidFill>
          </w14:textFill>
        </w:rPr>
        <w:t>注：特殊情况是指不可抗力或实际财政资金情况。</w:t>
      </w:r>
    </w:p>
    <w:p w14:paraId="55F43C96">
      <w:pPr>
        <w:spacing w:line="360" w:lineRule="auto"/>
        <w:ind w:firstLine="480" w:firstLineChars="200"/>
        <w:rPr>
          <w:rFonts w:hint="default" w:ascii="Calibri" w:hAnsi="Calibri"/>
          <w:color w:val="000000" w:themeColor="text1"/>
          <w:szCs w:val="24"/>
          <w:lang w:val="en-US" w:eastAsia="zh-CN" w:bidi="ar"/>
          <w14:textFill>
            <w14:solidFill>
              <w14:schemeClr w14:val="tx1"/>
            </w14:solidFill>
          </w14:textFill>
        </w:rPr>
      </w:pPr>
      <w:r>
        <w:rPr>
          <w:rFonts w:hint="eastAsia" w:ascii="Calibri" w:hAnsi="Calibri"/>
          <w:color w:val="000000" w:themeColor="text1"/>
          <w:szCs w:val="24"/>
          <w:lang w:val="en-US" w:eastAsia="zh-CN" w:bidi="ar"/>
          <w14:textFill>
            <w14:solidFill>
              <w14:schemeClr w14:val="tx1"/>
            </w14:solidFill>
          </w14:textFill>
        </w:rPr>
        <w:t>5.4、付</w:t>
      </w:r>
      <w:r>
        <w:rPr>
          <w:rFonts w:hint="eastAsia" w:ascii="Calibri" w:hAnsi="Calibri"/>
          <w:color w:val="000000" w:themeColor="text1"/>
          <w:szCs w:val="24"/>
          <w:lang w:bidi="ar"/>
          <w14:textFill>
            <w14:solidFill>
              <w14:schemeClr w14:val="tx1"/>
            </w14:solidFill>
          </w14:textFill>
        </w:rPr>
        <w:t>款依据：</w:t>
      </w:r>
      <w:r>
        <w:rPr>
          <w:rFonts w:hint="eastAsia" w:ascii="Calibri" w:hAnsi="Calibri"/>
          <w:color w:val="000000" w:themeColor="text1"/>
          <w:szCs w:val="24"/>
          <w:lang w:val="en-US" w:eastAsia="zh-CN" w:bidi="ar"/>
          <w14:textFill>
            <w14:solidFill>
              <w14:schemeClr w14:val="tx1"/>
            </w14:solidFill>
          </w14:textFill>
        </w:rPr>
        <w:t>竞争性磋商文件</w:t>
      </w:r>
      <w:r>
        <w:rPr>
          <w:rFonts w:hint="eastAsia" w:ascii="Calibri" w:hAnsi="Calibri"/>
          <w:color w:val="000000" w:themeColor="text1"/>
          <w:szCs w:val="24"/>
          <w:lang w:bidi="ar"/>
          <w14:textFill>
            <w14:solidFill>
              <w14:schemeClr w14:val="tx1"/>
            </w14:solidFill>
          </w14:textFill>
        </w:rPr>
        <w:t>、</w:t>
      </w:r>
      <w:r>
        <w:rPr>
          <w:rFonts w:hint="eastAsia" w:ascii="Calibri" w:hAnsi="Calibri"/>
          <w:color w:val="000000" w:themeColor="text1"/>
          <w:szCs w:val="24"/>
          <w:lang w:val="en-US" w:eastAsia="zh-CN" w:bidi="ar"/>
          <w14:textFill>
            <w14:solidFill>
              <w14:schemeClr w14:val="tx1"/>
            </w14:solidFill>
          </w14:textFill>
        </w:rPr>
        <w:t>响应</w:t>
      </w:r>
      <w:r>
        <w:rPr>
          <w:rFonts w:hint="eastAsia" w:ascii="Calibri" w:hAnsi="Calibri"/>
          <w:color w:val="000000" w:themeColor="text1"/>
          <w:szCs w:val="24"/>
          <w:lang w:bidi="ar"/>
          <w14:textFill>
            <w14:solidFill>
              <w14:schemeClr w14:val="tx1"/>
            </w14:solidFill>
          </w14:textFill>
        </w:rPr>
        <w:t>文件、验收报告、发票</w:t>
      </w:r>
      <w:r>
        <w:rPr>
          <w:rFonts w:hint="eastAsia" w:ascii="Calibri" w:hAnsi="Calibri"/>
          <w:color w:val="000000" w:themeColor="text1"/>
          <w:szCs w:val="24"/>
          <w:lang w:val="en-US" w:eastAsia="zh-CN" w:bidi="ar"/>
          <w14:textFill>
            <w14:solidFill>
              <w14:schemeClr w14:val="tx1"/>
            </w14:solidFill>
          </w14:textFill>
        </w:rPr>
        <w:t>等</w:t>
      </w:r>
      <w:r>
        <w:rPr>
          <w:rFonts w:hint="eastAsia" w:ascii="Calibri" w:hAnsi="Calibri"/>
          <w:color w:val="000000" w:themeColor="text1"/>
          <w:szCs w:val="24"/>
          <w:lang w:bidi="ar"/>
          <w14:textFill>
            <w14:solidFill>
              <w14:schemeClr w14:val="tx1"/>
            </w14:solidFill>
          </w14:textFill>
        </w:rPr>
        <w:t>。</w:t>
      </w:r>
    </w:p>
    <w:p w14:paraId="26CBB65D">
      <w:pPr>
        <w:spacing w:line="360" w:lineRule="auto"/>
        <w:rPr>
          <w:b/>
          <w:color w:val="000000" w:themeColor="text1"/>
          <w:szCs w:val="24"/>
          <w:highlight w:val="none"/>
          <w14:textFill>
            <w14:solidFill>
              <w14:schemeClr w14:val="tx1"/>
            </w14:solidFill>
          </w14:textFill>
        </w:rPr>
      </w:pPr>
      <w:r>
        <w:rPr>
          <w:rFonts w:hint="eastAsia" w:ascii="宋体" w:hAnsi="宋体" w:cs="宋体"/>
          <w:b/>
          <w:color w:val="000000" w:themeColor="text1"/>
          <w:szCs w:val="24"/>
          <w:highlight w:val="none"/>
          <w:lang w:bidi="ar"/>
          <w14:textFill>
            <w14:solidFill>
              <w14:schemeClr w14:val="tx1"/>
            </w14:solidFill>
          </w14:textFill>
        </w:rPr>
        <w:t>六、工程结算</w:t>
      </w:r>
    </w:p>
    <w:p w14:paraId="6BD58D9E">
      <w:pPr>
        <w:spacing w:line="360" w:lineRule="auto"/>
        <w:ind w:firstLine="480" w:firstLineChars="200"/>
        <w:rPr>
          <w:rFonts w:ascii="宋体" w:hAnsi="宋体" w:cs="宋体"/>
          <w:color w:val="000000" w:themeColor="text1"/>
          <w:szCs w:val="24"/>
          <w14:textFill>
            <w14:solidFill>
              <w14:schemeClr w14:val="tx1"/>
            </w14:solidFill>
          </w14:textFill>
        </w:rPr>
      </w:pPr>
      <w:r>
        <w:rPr>
          <w:rFonts w:ascii="Calibri" w:hAnsi="Calibri"/>
          <w:color w:val="000000" w:themeColor="text1"/>
          <w:szCs w:val="24"/>
          <w:lang w:bidi="ar"/>
          <w14:textFill>
            <w14:solidFill>
              <w14:schemeClr w14:val="tx1"/>
            </w14:solidFill>
          </w14:textFill>
        </w:rPr>
        <w:t>6.1</w:t>
      </w:r>
      <w:r>
        <w:rPr>
          <w:rFonts w:hint="eastAsia" w:ascii="宋体" w:hAnsi="宋体" w:cs="宋体"/>
          <w:color w:val="000000" w:themeColor="text1"/>
          <w:szCs w:val="24"/>
          <w:lang w:bidi="ar"/>
          <w14:textFill>
            <w14:solidFill>
              <w14:schemeClr w14:val="tx1"/>
            </w14:solidFill>
          </w14:textFill>
        </w:rPr>
        <w:t>、以施工合同、竣工图纸、设计变更、现场签证、洽商文件、甲方认质认价单及乙方投标承诺、</w:t>
      </w:r>
      <w:r>
        <w:rPr>
          <w:rFonts w:hint="eastAsia" w:ascii="宋体" w:hAnsi="宋体" w:cs="宋体"/>
          <w:color w:val="000000" w:themeColor="text1"/>
          <w:szCs w:val="24"/>
          <w:lang w:val="en-US" w:eastAsia="zh-CN" w:bidi="ar"/>
          <w14:textFill>
            <w14:solidFill>
              <w14:schemeClr w14:val="tx1"/>
            </w14:solidFill>
          </w14:textFill>
        </w:rPr>
        <w:t>竞争性磋商</w:t>
      </w:r>
      <w:r>
        <w:rPr>
          <w:rFonts w:hint="eastAsia" w:ascii="宋体" w:hAnsi="宋体" w:cs="宋体"/>
          <w:color w:val="000000" w:themeColor="text1"/>
          <w:szCs w:val="24"/>
          <w:lang w:bidi="ar"/>
          <w14:textFill>
            <w14:solidFill>
              <w14:schemeClr w14:val="tx1"/>
            </w14:solidFill>
          </w14:textFill>
        </w:rPr>
        <w:t>文件、答疑纪要、经修订的工程量清单、</w:t>
      </w:r>
      <w:r>
        <w:rPr>
          <w:rFonts w:hint="eastAsia" w:ascii="宋体" w:hAnsi="宋体" w:cs="宋体"/>
          <w:color w:val="000000" w:themeColor="text1"/>
          <w:szCs w:val="24"/>
          <w:lang w:val="en-US" w:eastAsia="zh-CN" w:bidi="ar"/>
          <w14:textFill>
            <w14:solidFill>
              <w14:schemeClr w14:val="tx1"/>
            </w14:solidFill>
          </w14:textFill>
        </w:rPr>
        <w:t>响应</w:t>
      </w:r>
      <w:r>
        <w:rPr>
          <w:rFonts w:hint="eastAsia" w:ascii="宋体" w:hAnsi="宋体" w:cs="宋体"/>
          <w:color w:val="000000" w:themeColor="text1"/>
          <w:szCs w:val="24"/>
          <w:lang w:bidi="ar"/>
          <w14:textFill>
            <w14:solidFill>
              <w14:schemeClr w14:val="tx1"/>
            </w14:solidFill>
          </w14:textFill>
        </w:rPr>
        <w:t>文件以及相关法律、法规和文件等为依据进行结算，认质认价材料的差价在工程结算时除规费和税金外不计取其他任何费用，其他项目清单中属于招标人部分的暂列金额、专业工程暂估价结算时按实调整。</w:t>
      </w:r>
    </w:p>
    <w:p w14:paraId="6E756F1E">
      <w:pPr>
        <w:spacing w:line="360" w:lineRule="auto"/>
        <w:ind w:firstLine="480" w:firstLineChars="200"/>
        <w:rPr>
          <w:color w:val="000000" w:themeColor="text1"/>
          <w:szCs w:val="24"/>
          <w14:textFill>
            <w14:solidFill>
              <w14:schemeClr w14:val="tx1"/>
            </w14:solidFill>
          </w14:textFill>
        </w:rPr>
      </w:pPr>
      <w:r>
        <w:rPr>
          <w:rFonts w:ascii="Calibri" w:hAnsi="Calibri"/>
          <w:color w:val="000000" w:themeColor="text1"/>
          <w:szCs w:val="24"/>
          <w:lang w:bidi="ar"/>
          <w14:textFill>
            <w14:solidFill>
              <w14:schemeClr w14:val="tx1"/>
            </w14:solidFill>
          </w14:textFill>
        </w:rPr>
        <w:t>6.2</w:t>
      </w:r>
      <w:r>
        <w:rPr>
          <w:rFonts w:hint="eastAsia" w:ascii="宋体" w:hAnsi="宋体" w:cs="宋体"/>
          <w:color w:val="000000" w:themeColor="text1"/>
          <w:szCs w:val="24"/>
          <w:lang w:bidi="ar"/>
          <w14:textFill>
            <w14:solidFill>
              <w14:schemeClr w14:val="tx1"/>
            </w14:solidFill>
          </w14:textFill>
        </w:rPr>
        <w:t>、在本工程施工过程中，若发生设计变更及签证，按下列规定执行：</w:t>
      </w:r>
    </w:p>
    <w:p w14:paraId="011B0388">
      <w:pPr>
        <w:spacing w:line="360" w:lineRule="auto"/>
        <w:ind w:firstLine="720" w:firstLineChars="300"/>
        <w:rPr>
          <w:color w:val="000000" w:themeColor="text1"/>
          <w:szCs w:val="24"/>
          <w14:textFill>
            <w14:solidFill>
              <w14:schemeClr w14:val="tx1"/>
            </w14:solidFill>
          </w14:textFill>
        </w:rPr>
      </w:pPr>
      <w:r>
        <w:rPr>
          <w:rFonts w:hint="eastAsia" w:ascii="Calibri" w:hAnsi="Calibri" w:cs="宋体"/>
          <w:color w:val="000000" w:themeColor="text1"/>
          <w:szCs w:val="24"/>
          <w:lang w:bidi="ar"/>
          <w14:textFill>
            <w14:solidFill>
              <w14:schemeClr w14:val="tx1"/>
            </w14:solidFill>
          </w14:textFill>
        </w:rPr>
        <w:t>①合同中已有适用于变更工程的综合单价或价格</w:t>
      </w:r>
      <w:r>
        <w:rPr>
          <w:rFonts w:hint="eastAsia" w:ascii="宋体" w:hAnsi="宋体" w:cs="宋体"/>
          <w:color w:val="000000" w:themeColor="text1"/>
          <w:szCs w:val="24"/>
          <w:lang w:bidi="ar"/>
          <w14:textFill>
            <w14:solidFill>
              <w14:schemeClr w14:val="tx1"/>
            </w14:solidFill>
          </w14:textFill>
        </w:rPr>
        <w:t>，按合同已有的综合单价或价格变更合同价款；</w:t>
      </w:r>
    </w:p>
    <w:p w14:paraId="7BAE0BF6">
      <w:pPr>
        <w:spacing w:line="360" w:lineRule="auto"/>
        <w:ind w:firstLine="720" w:firstLineChars="300"/>
        <w:rPr>
          <w:color w:val="000000" w:themeColor="text1"/>
          <w:szCs w:val="24"/>
          <w14:textFill>
            <w14:solidFill>
              <w14:schemeClr w14:val="tx1"/>
            </w14:solidFill>
          </w14:textFill>
        </w:rPr>
      </w:pPr>
      <w:r>
        <w:rPr>
          <w:rFonts w:hint="eastAsia" w:ascii="Calibri" w:hAnsi="Calibri" w:cs="宋体"/>
          <w:color w:val="000000" w:themeColor="text1"/>
          <w:szCs w:val="24"/>
          <w:lang w:bidi="ar"/>
          <w14:textFill>
            <w14:solidFill>
              <w14:schemeClr w14:val="tx1"/>
            </w14:solidFill>
          </w14:textFill>
        </w:rPr>
        <w:t>②合同中只有类似于变更工程的综合单价或价格</w:t>
      </w:r>
      <w:r>
        <w:rPr>
          <w:rFonts w:hint="eastAsia" w:ascii="宋体" w:hAnsi="宋体" w:cs="宋体"/>
          <w:color w:val="000000" w:themeColor="text1"/>
          <w:szCs w:val="24"/>
          <w:lang w:bidi="ar"/>
          <w14:textFill>
            <w14:solidFill>
              <w14:schemeClr w14:val="tx1"/>
            </w14:solidFill>
          </w14:textFill>
        </w:rPr>
        <w:t>，可以参照类似综合单价或价格变更合同价款；</w:t>
      </w:r>
    </w:p>
    <w:p w14:paraId="586F9DA5">
      <w:pPr>
        <w:spacing w:line="360" w:lineRule="auto"/>
        <w:ind w:firstLine="720" w:firstLineChars="300"/>
        <w:rPr>
          <w:color w:val="000000" w:themeColor="text1"/>
          <w:szCs w:val="24"/>
          <w14:textFill>
            <w14:solidFill>
              <w14:schemeClr w14:val="tx1"/>
            </w14:solidFill>
          </w14:textFill>
        </w:rPr>
      </w:pPr>
      <w:r>
        <w:rPr>
          <w:rFonts w:hint="eastAsia" w:ascii="Calibri" w:hAnsi="Calibri" w:cs="宋体"/>
          <w:color w:val="000000" w:themeColor="text1"/>
          <w:szCs w:val="24"/>
          <w:lang w:bidi="ar"/>
          <w14:textFill>
            <w14:solidFill>
              <w14:schemeClr w14:val="tx1"/>
            </w14:solidFill>
          </w14:textFill>
        </w:rPr>
        <w:t>③合同中没有适用或类似于变更工程的综合单价或价格</w:t>
      </w:r>
      <w:r>
        <w:rPr>
          <w:rFonts w:hint="eastAsia" w:ascii="宋体" w:hAnsi="宋体" w:cs="宋体"/>
          <w:color w:val="000000" w:themeColor="text1"/>
          <w:szCs w:val="24"/>
          <w:lang w:bidi="ar"/>
          <w14:textFill>
            <w14:solidFill>
              <w14:schemeClr w14:val="tx1"/>
            </w14:solidFill>
          </w14:textFill>
        </w:rPr>
        <w:t>，由乙方或甲方依据其配套文件中工程量计算办法以及乙方投标时所报材料价格</w:t>
      </w:r>
      <w:r>
        <w:rPr>
          <w:rFonts w:ascii="Calibri" w:hAnsi="Calibri" w:cs="Calibri"/>
          <w:color w:val="000000" w:themeColor="text1"/>
          <w:szCs w:val="24"/>
          <w:lang w:bidi="ar"/>
          <w14:textFill>
            <w14:solidFill>
              <w14:schemeClr w14:val="tx1"/>
            </w14:solidFill>
          </w14:textFill>
        </w:rPr>
        <w:t>(</w:t>
      </w:r>
      <w:r>
        <w:rPr>
          <w:rFonts w:hint="eastAsia" w:ascii="宋体" w:hAnsi="宋体" w:cs="宋体"/>
          <w:color w:val="000000" w:themeColor="text1"/>
          <w:szCs w:val="24"/>
          <w:lang w:bidi="ar"/>
          <w14:textFill>
            <w14:solidFill>
              <w14:schemeClr w14:val="tx1"/>
            </w14:solidFill>
          </w14:textFill>
        </w:rPr>
        <w:t>投标所报材料价格中没有的，按甲方认质认价办法进行材料认价</w:t>
      </w:r>
      <w:r>
        <w:rPr>
          <w:rFonts w:ascii="Calibri" w:hAnsi="Calibri"/>
          <w:color w:val="000000" w:themeColor="text1"/>
          <w:szCs w:val="24"/>
          <w:lang w:bidi="ar"/>
          <w14:textFill>
            <w14:solidFill>
              <w14:schemeClr w14:val="tx1"/>
            </w14:solidFill>
          </w14:textFill>
        </w:rPr>
        <w:t>)</w:t>
      </w:r>
      <w:r>
        <w:rPr>
          <w:rFonts w:hint="eastAsia" w:ascii="宋体" w:hAnsi="宋体" w:cs="宋体"/>
          <w:color w:val="000000" w:themeColor="text1"/>
          <w:szCs w:val="24"/>
          <w:lang w:bidi="ar"/>
          <w14:textFill>
            <w14:solidFill>
              <w14:schemeClr w14:val="tx1"/>
            </w14:solidFill>
          </w14:textFill>
        </w:rPr>
        <w:t>按最高限价编制模式组价，综合单价经双方确认后按中标价与最高限价的优惠比率下浮后执行</w:t>
      </w:r>
      <w:r>
        <w:rPr>
          <w:rFonts w:ascii="Calibri" w:hAnsi="Calibri"/>
          <w:color w:val="000000" w:themeColor="text1"/>
          <w:szCs w:val="24"/>
          <w:lang w:bidi="ar"/>
          <w14:textFill>
            <w14:solidFill>
              <w14:schemeClr w14:val="tx1"/>
            </w14:solidFill>
          </w14:textFill>
        </w:rPr>
        <w:t>(</w:t>
      </w:r>
      <w:r>
        <w:rPr>
          <w:rFonts w:hint="eastAsia" w:ascii="宋体" w:hAnsi="宋体" w:cs="宋体"/>
          <w:color w:val="000000" w:themeColor="text1"/>
          <w:szCs w:val="24"/>
          <w:lang w:bidi="ar"/>
          <w14:textFill>
            <w14:solidFill>
              <w14:schemeClr w14:val="tx1"/>
            </w14:solidFill>
          </w14:textFill>
        </w:rPr>
        <w:t>下浮不含发包人认价材料）。</w:t>
      </w:r>
    </w:p>
    <w:p w14:paraId="49257017">
      <w:pPr>
        <w:spacing w:line="360" w:lineRule="auto"/>
        <w:ind w:firstLine="480" w:firstLineChars="200"/>
        <w:rPr>
          <w:color w:val="000000" w:themeColor="text1"/>
          <w:szCs w:val="24"/>
          <w14:textFill>
            <w14:solidFill>
              <w14:schemeClr w14:val="tx1"/>
            </w14:solidFill>
          </w14:textFill>
        </w:rPr>
      </w:pPr>
      <w:r>
        <w:rPr>
          <w:rFonts w:ascii="Calibri" w:hAnsi="Calibri"/>
          <w:color w:val="000000" w:themeColor="text1"/>
          <w:szCs w:val="24"/>
          <w:lang w:bidi="ar"/>
          <w14:textFill>
            <w14:solidFill>
              <w14:schemeClr w14:val="tx1"/>
            </w14:solidFill>
          </w14:textFill>
        </w:rPr>
        <w:t>6.3</w:t>
      </w:r>
      <w:r>
        <w:rPr>
          <w:rFonts w:hint="eastAsia" w:ascii="宋体" w:hAnsi="宋体" w:cs="宋体"/>
          <w:color w:val="000000" w:themeColor="text1"/>
          <w:szCs w:val="24"/>
          <w:lang w:bidi="ar"/>
          <w14:textFill>
            <w14:solidFill>
              <w14:schemeClr w14:val="tx1"/>
            </w14:solidFill>
          </w14:textFill>
        </w:rPr>
        <w:t>、同一种材料单价出现二种以上单价时，以最低者为准进行工程结算。</w:t>
      </w:r>
    </w:p>
    <w:p w14:paraId="26A657C0">
      <w:pPr>
        <w:spacing w:line="360" w:lineRule="auto"/>
        <w:ind w:firstLine="480" w:firstLineChars="200"/>
        <w:rPr>
          <w:color w:val="000000" w:themeColor="text1"/>
          <w:szCs w:val="24"/>
          <w14:textFill>
            <w14:solidFill>
              <w14:schemeClr w14:val="tx1"/>
            </w14:solidFill>
          </w14:textFill>
        </w:rPr>
      </w:pPr>
      <w:r>
        <w:rPr>
          <w:rFonts w:ascii="Calibri" w:hAnsi="Calibri"/>
          <w:color w:val="000000" w:themeColor="text1"/>
          <w:szCs w:val="24"/>
          <w:lang w:bidi="ar"/>
          <w14:textFill>
            <w14:solidFill>
              <w14:schemeClr w14:val="tx1"/>
            </w14:solidFill>
          </w14:textFill>
        </w:rPr>
        <w:t>6.4</w:t>
      </w:r>
      <w:r>
        <w:rPr>
          <w:rFonts w:hint="eastAsia" w:ascii="宋体" w:hAnsi="宋体" w:cs="宋体"/>
          <w:color w:val="000000" w:themeColor="text1"/>
          <w:szCs w:val="24"/>
          <w:lang w:bidi="ar"/>
          <w14:textFill>
            <w14:solidFill>
              <w14:schemeClr w14:val="tx1"/>
            </w14:solidFill>
          </w14:textFill>
        </w:rPr>
        <w:t>、在施工过程中如遇国家法律法规或政策性调整，双方应依照执行。</w:t>
      </w:r>
    </w:p>
    <w:p w14:paraId="5B728118">
      <w:pPr>
        <w:spacing w:line="360" w:lineRule="auto"/>
        <w:ind w:firstLine="480" w:firstLineChars="200"/>
        <w:rPr>
          <w:color w:val="000000" w:themeColor="text1"/>
          <w:szCs w:val="24"/>
          <w14:textFill>
            <w14:solidFill>
              <w14:schemeClr w14:val="tx1"/>
            </w14:solidFill>
          </w14:textFill>
        </w:rPr>
      </w:pPr>
      <w:r>
        <w:rPr>
          <w:rFonts w:ascii="Calibri" w:hAnsi="Calibri"/>
          <w:color w:val="000000" w:themeColor="text1"/>
          <w:szCs w:val="24"/>
          <w:lang w:bidi="ar"/>
          <w14:textFill>
            <w14:solidFill>
              <w14:schemeClr w14:val="tx1"/>
            </w14:solidFill>
          </w14:textFill>
        </w:rPr>
        <w:t>6.5</w:t>
      </w:r>
      <w:r>
        <w:rPr>
          <w:rFonts w:hint="eastAsia" w:ascii="宋体" w:hAnsi="宋体" w:cs="宋体"/>
          <w:color w:val="000000" w:themeColor="text1"/>
          <w:szCs w:val="24"/>
          <w:lang w:bidi="ar"/>
          <w14:textFill>
            <w14:solidFill>
              <w14:schemeClr w14:val="tx1"/>
            </w14:solidFill>
          </w14:textFill>
        </w:rPr>
        <w:t>、乙方应严格按照</w:t>
      </w:r>
      <w:r>
        <w:rPr>
          <w:rFonts w:hint="eastAsia" w:ascii="宋体" w:hAnsi="宋体" w:cs="宋体"/>
          <w:color w:val="000000" w:themeColor="text1"/>
          <w:szCs w:val="24"/>
          <w:lang w:eastAsia="zh-CN" w:bidi="ar"/>
          <w14:textFill>
            <w14:solidFill>
              <w14:schemeClr w14:val="tx1"/>
            </w14:solidFill>
          </w14:textFill>
        </w:rPr>
        <w:t>竞争性磋商文件</w:t>
      </w:r>
      <w:r>
        <w:rPr>
          <w:rFonts w:hint="eastAsia" w:ascii="宋体" w:hAnsi="宋体" w:cs="宋体"/>
          <w:color w:val="000000" w:themeColor="text1"/>
          <w:szCs w:val="24"/>
          <w:lang w:bidi="ar"/>
          <w14:textFill>
            <w14:solidFill>
              <w14:schemeClr w14:val="tx1"/>
            </w14:solidFill>
          </w14:textFill>
        </w:rPr>
        <w:t>、本合同确定的计算方法编制竣工结算，不得高估冒报。</w:t>
      </w:r>
    </w:p>
    <w:p w14:paraId="26D7996B">
      <w:pPr>
        <w:spacing w:line="360" w:lineRule="auto"/>
        <w:ind w:firstLine="480" w:firstLineChars="200"/>
        <w:rPr>
          <w:color w:val="000000" w:themeColor="text1"/>
          <w:szCs w:val="24"/>
          <w14:textFill>
            <w14:solidFill>
              <w14:schemeClr w14:val="tx1"/>
            </w14:solidFill>
          </w14:textFill>
        </w:rPr>
      </w:pPr>
      <w:r>
        <w:rPr>
          <w:rFonts w:ascii="Calibri" w:hAnsi="Calibri"/>
          <w:color w:val="000000" w:themeColor="text1"/>
          <w:szCs w:val="24"/>
          <w:lang w:bidi="ar"/>
          <w14:textFill>
            <w14:solidFill>
              <w14:schemeClr w14:val="tx1"/>
            </w14:solidFill>
          </w14:textFill>
        </w:rPr>
        <w:t>6.6</w:t>
      </w:r>
      <w:r>
        <w:rPr>
          <w:rFonts w:hint="eastAsia" w:ascii="宋体" w:hAnsi="宋体" w:cs="宋体"/>
          <w:color w:val="000000" w:themeColor="text1"/>
          <w:szCs w:val="24"/>
          <w:lang w:bidi="ar"/>
          <w14:textFill>
            <w14:solidFill>
              <w14:schemeClr w14:val="tx1"/>
            </w14:solidFill>
          </w14:textFill>
        </w:rPr>
        <w:t>、乙方应遵守甲方制定的有关制度及规定及财政投资项目管理办法、材料设备价格管理及评审实施意见等文件的规定。</w:t>
      </w:r>
    </w:p>
    <w:p w14:paraId="32B24605">
      <w:pPr>
        <w:spacing w:line="360" w:lineRule="auto"/>
        <w:rPr>
          <w:b/>
          <w:color w:val="000000" w:themeColor="text1"/>
          <w:szCs w:val="24"/>
          <w14:textFill>
            <w14:solidFill>
              <w14:schemeClr w14:val="tx1"/>
            </w14:solidFill>
          </w14:textFill>
        </w:rPr>
      </w:pPr>
      <w:r>
        <w:rPr>
          <w:rFonts w:hint="eastAsia" w:ascii="宋体" w:hAnsi="宋体" w:cs="宋体"/>
          <w:b/>
          <w:color w:val="000000" w:themeColor="text1"/>
          <w:szCs w:val="24"/>
          <w:lang w:bidi="ar"/>
          <w14:textFill>
            <w14:solidFill>
              <w14:schemeClr w14:val="tx1"/>
            </w14:solidFill>
          </w14:textFill>
        </w:rPr>
        <w:t>七、材料、设备供应要求</w:t>
      </w:r>
    </w:p>
    <w:p w14:paraId="7A817DF1">
      <w:pPr>
        <w:spacing w:line="360" w:lineRule="auto"/>
        <w:ind w:firstLine="480" w:firstLineChars="200"/>
        <w:rPr>
          <w:rFonts w:hint="eastAsia" w:eastAsia="宋体"/>
          <w:color w:val="000000" w:themeColor="text1"/>
          <w:szCs w:val="24"/>
          <w:lang w:eastAsia="zh-CN"/>
          <w14:textFill>
            <w14:solidFill>
              <w14:schemeClr w14:val="tx1"/>
            </w14:solidFill>
          </w14:textFill>
        </w:rPr>
      </w:pPr>
      <w:r>
        <w:rPr>
          <w:rFonts w:ascii="Calibri" w:hAnsi="Calibri"/>
          <w:color w:val="000000" w:themeColor="text1"/>
          <w:szCs w:val="24"/>
          <w:lang w:bidi="ar"/>
          <w14:textFill>
            <w14:solidFill>
              <w14:schemeClr w14:val="tx1"/>
            </w14:solidFill>
          </w14:textFill>
        </w:rPr>
        <w:t>7.1</w:t>
      </w:r>
      <w:r>
        <w:rPr>
          <w:rFonts w:hint="eastAsia" w:ascii="宋体" w:hAnsi="宋体" w:cs="宋体"/>
          <w:color w:val="000000" w:themeColor="text1"/>
          <w:szCs w:val="24"/>
          <w:lang w:bidi="ar"/>
          <w14:textFill>
            <w14:solidFill>
              <w14:schemeClr w14:val="tx1"/>
            </w14:solidFill>
          </w14:textFill>
        </w:rPr>
        <w:t>、乙方负责采购、供应的材料、设备应是合格产品，符合设计及国家规范要求</w:t>
      </w:r>
      <w:r>
        <w:rPr>
          <w:rFonts w:hint="eastAsia" w:ascii="宋体" w:hAnsi="宋体" w:cs="宋体"/>
          <w:color w:val="000000" w:themeColor="text1"/>
          <w:szCs w:val="24"/>
          <w:lang w:eastAsia="zh-CN" w:bidi="ar"/>
          <w14:textFill>
            <w14:solidFill>
              <w14:schemeClr w14:val="tx1"/>
            </w14:solidFill>
          </w14:textFill>
        </w:rPr>
        <w:t>；</w:t>
      </w:r>
    </w:p>
    <w:p w14:paraId="184F3B88">
      <w:pPr>
        <w:spacing w:line="360" w:lineRule="auto"/>
        <w:ind w:firstLine="480" w:firstLineChars="200"/>
        <w:rPr>
          <w:color w:val="000000" w:themeColor="text1"/>
          <w:szCs w:val="24"/>
          <w14:textFill>
            <w14:solidFill>
              <w14:schemeClr w14:val="tx1"/>
            </w14:solidFill>
          </w14:textFill>
        </w:rPr>
      </w:pPr>
      <w:r>
        <w:rPr>
          <w:rFonts w:ascii="Calibri" w:hAnsi="Calibri"/>
          <w:color w:val="000000" w:themeColor="text1"/>
          <w:szCs w:val="24"/>
          <w:lang w:bidi="ar"/>
          <w14:textFill>
            <w14:solidFill>
              <w14:schemeClr w14:val="tx1"/>
            </w14:solidFill>
          </w14:textFill>
        </w:rPr>
        <w:t>7.2</w:t>
      </w:r>
      <w:r>
        <w:rPr>
          <w:rFonts w:hint="eastAsia" w:ascii="宋体" w:hAnsi="宋体" w:cs="宋体"/>
          <w:color w:val="000000" w:themeColor="text1"/>
          <w:szCs w:val="24"/>
          <w:lang w:bidi="ar"/>
          <w14:textFill>
            <w14:solidFill>
              <w14:schemeClr w14:val="tx1"/>
            </w14:solidFill>
          </w14:textFill>
        </w:rPr>
        <w:t>、工程所需的所有材料、设备均应提前以书面形式报甲方确认方可进场，未经甲方确认的材料、设备视为不合格材料。</w:t>
      </w:r>
    </w:p>
    <w:p w14:paraId="0946942F">
      <w:pPr>
        <w:spacing w:line="360" w:lineRule="auto"/>
        <w:rPr>
          <w:b/>
          <w:color w:val="000000" w:themeColor="text1"/>
          <w:szCs w:val="24"/>
          <w:highlight w:val="none"/>
          <w14:textFill>
            <w14:solidFill>
              <w14:schemeClr w14:val="tx1"/>
            </w14:solidFill>
          </w14:textFill>
        </w:rPr>
      </w:pPr>
      <w:r>
        <w:rPr>
          <w:rFonts w:hint="eastAsia" w:ascii="宋体" w:hAnsi="宋体" w:cs="宋体"/>
          <w:b/>
          <w:color w:val="000000" w:themeColor="text1"/>
          <w:szCs w:val="24"/>
          <w:lang w:bidi="ar"/>
          <w14:textFill>
            <w14:solidFill>
              <w14:schemeClr w14:val="tx1"/>
            </w14:solidFill>
          </w14:textFill>
        </w:rPr>
        <w:t>八、质保期</w:t>
      </w:r>
    </w:p>
    <w:p w14:paraId="7187988B">
      <w:pPr>
        <w:spacing w:line="360" w:lineRule="auto"/>
        <w:ind w:firstLine="480" w:firstLineChars="200"/>
        <w:rPr>
          <w:rFonts w:hint="eastAsia" w:ascii="宋体" w:hAnsi="宋体" w:cs="宋体"/>
          <w:color w:val="000000" w:themeColor="text1"/>
          <w:szCs w:val="24"/>
          <w:lang w:bidi="ar"/>
          <w14:textFill>
            <w14:solidFill>
              <w14:schemeClr w14:val="tx1"/>
            </w14:solidFill>
          </w14:textFill>
        </w:rPr>
      </w:pPr>
      <w:r>
        <w:rPr>
          <w:rFonts w:hint="eastAsia" w:ascii="宋体" w:hAnsi="宋体" w:cs="宋体"/>
          <w:color w:val="000000" w:themeColor="text1"/>
          <w:szCs w:val="24"/>
          <w:lang w:bidi="ar"/>
          <w14:textFill>
            <w14:solidFill>
              <w14:schemeClr w14:val="tx1"/>
            </w14:solidFill>
          </w14:textFill>
        </w:rPr>
        <w:t>按国家及行业相关标准执行，自验收合格之日起计算，若供应商承诺质量保修期多于文件要求的则按其承诺。</w:t>
      </w:r>
    </w:p>
    <w:p w14:paraId="283D0846">
      <w:pPr>
        <w:spacing w:line="360" w:lineRule="auto"/>
        <w:rPr>
          <w:b/>
          <w:color w:val="000000" w:themeColor="text1"/>
          <w:szCs w:val="24"/>
          <w14:textFill>
            <w14:solidFill>
              <w14:schemeClr w14:val="tx1"/>
            </w14:solidFill>
          </w14:textFill>
        </w:rPr>
      </w:pPr>
      <w:r>
        <w:rPr>
          <w:rFonts w:hint="eastAsia" w:ascii="宋体" w:hAnsi="宋体" w:cs="宋体"/>
          <w:b/>
          <w:color w:val="000000" w:themeColor="text1"/>
          <w:szCs w:val="24"/>
          <w:lang w:bidi="ar"/>
          <w14:textFill>
            <w14:solidFill>
              <w14:schemeClr w14:val="tx1"/>
            </w14:solidFill>
          </w14:textFill>
        </w:rPr>
        <w:t>九、工程质量与监督及工程验收</w:t>
      </w:r>
    </w:p>
    <w:p w14:paraId="31B39ECB">
      <w:pPr>
        <w:spacing w:line="360" w:lineRule="auto"/>
        <w:ind w:firstLine="480" w:firstLineChars="200"/>
        <w:rPr>
          <w:color w:val="000000" w:themeColor="text1"/>
          <w:szCs w:val="24"/>
          <w14:textFill>
            <w14:solidFill>
              <w14:schemeClr w14:val="tx1"/>
            </w14:solidFill>
          </w14:textFill>
        </w:rPr>
      </w:pPr>
      <w:r>
        <w:rPr>
          <w:rFonts w:ascii="Calibri" w:hAnsi="Calibri"/>
          <w:color w:val="000000" w:themeColor="text1"/>
          <w:szCs w:val="24"/>
          <w:lang w:bidi="ar"/>
          <w14:textFill>
            <w14:solidFill>
              <w14:schemeClr w14:val="tx1"/>
            </w14:solidFill>
          </w14:textFill>
        </w:rPr>
        <w:t>9.1</w:t>
      </w:r>
      <w:r>
        <w:rPr>
          <w:rFonts w:hint="eastAsia" w:ascii="宋体" w:hAnsi="宋体" w:cs="宋体"/>
          <w:color w:val="000000" w:themeColor="text1"/>
          <w:szCs w:val="24"/>
          <w:lang w:bidi="ar"/>
          <w14:textFill>
            <w14:solidFill>
              <w14:schemeClr w14:val="tx1"/>
            </w14:solidFill>
          </w14:textFill>
        </w:rPr>
        <w:t>、乙方应认真按照国家颁发的施工验收规范及甲方要求进行施工，并应接受甲方代表或委派人员的检查、检验。乙方应为甲方人员检查提供便利条件，对不合格的部分按甲方代表及委派人员的要求返工修改，承担由自身原因导致返工修改的费用。</w:t>
      </w:r>
    </w:p>
    <w:p w14:paraId="45A34A18">
      <w:pPr>
        <w:spacing w:line="360" w:lineRule="auto"/>
        <w:ind w:firstLine="480" w:firstLineChars="200"/>
        <w:rPr>
          <w:color w:val="000000" w:themeColor="text1"/>
          <w:szCs w:val="24"/>
          <w14:textFill>
            <w14:solidFill>
              <w14:schemeClr w14:val="tx1"/>
            </w14:solidFill>
          </w14:textFill>
        </w:rPr>
      </w:pPr>
      <w:r>
        <w:rPr>
          <w:rFonts w:ascii="Calibri" w:hAnsi="Calibri"/>
          <w:color w:val="000000" w:themeColor="text1"/>
          <w:szCs w:val="24"/>
          <w:lang w:bidi="ar"/>
          <w14:textFill>
            <w14:solidFill>
              <w14:schemeClr w14:val="tx1"/>
            </w14:solidFill>
          </w14:textFill>
        </w:rPr>
        <w:t>9.2</w:t>
      </w:r>
      <w:r>
        <w:rPr>
          <w:rFonts w:hint="eastAsia" w:ascii="宋体" w:hAnsi="宋体" w:cs="宋体"/>
          <w:color w:val="000000" w:themeColor="text1"/>
          <w:szCs w:val="24"/>
          <w:lang w:bidi="ar"/>
          <w14:textFill>
            <w14:solidFill>
              <w14:schemeClr w14:val="tx1"/>
            </w14:solidFill>
          </w14:textFill>
        </w:rPr>
        <w:t>、乙方对材料、设备的改变或代用品必须经甲方同意，并发正式书面通知，经甲方代表签证后，方可用于工程；任何一方认为对方提供的材料需要复检的，应允许复检，复检符合要求后，方可用于工程，其复检费由要求复检的一方承担，不符合要求的，其复检费由提供材料、设备一方承担。</w:t>
      </w:r>
    </w:p>
    <w:p w14:paraId="122D9794">
      <w:pPr>
        <w:spacing w:line="360" w:lineRule="auto"/>
        <w:ind w:firstLine="480" w:firstLineChars="200"/>
        <w:rPr>
          <w:color w:val="000000" w:themeColor="text1"/>
          <w:szCs w:val="24"/>
          <w14:textFill>
            <w14:solidFill>
              <w14:schemeClr w14:val="tx1"/>
            </w14:solidFill>
          </w14:textFill>
        </w:rPr>
      </w:pPr>
      <w:r>
        <w:rPr>
          <w:rFonts w:ascii="Calibri" w:hAnsi="Calibri"/>
          <w:color w:val="000000" w:themeColor="text1"/>
          <w:szCs w:val="24"/>
          <w:lang w:bidi="ar"/>
          <w14:textFill>
            <w14:solidFill>
              <w14:schemeClr w14:val="tx1"/>
            </w14:solidFill>
          </w14:textFill>
        </w:rPr>
        <w:t>9.3</w:t>
      </w:r>
      <w:r>
        <w:rPr>
          <w:rFonts w:hint="eastAsia" w:ascii="宋体" w:hAnsi="宋体" w:cs="宋体"/>
          <w:color w:val="000000" w:themeColor="text1"/>
          <w:szCs w:val="24"/>
          <w:lang w:bidi="ar"/>
          <w14:textFill>
            <w14:solidFill>
              <w14:schemeClr w14:val="tx1"/>
            </w14:solidFill>
          </w14:textFill>
        </w:rPr>
        <w:t>、工程施工完成后，乙方应及时办理验收等一切相关手续。工程经验收合格后移交给甲方。</w:t>
      </w:r>
    </w:p>
    <w:p w14:paraId="4CBF8AE9">
      <w:pPr>
        <w:spacing w:line="360" w:lineRule="auto"/>
        <w:rPr>
          <w:b/>
          <w:color w:val="000000" w:themeColor="text1"/>
          <w:szCs w:val="24"/>
          <w14:textFill>
            <w14:solidFill>
              <w14:schemeClr w14:val="tx1"/>
            </w14:solidFill>
          </w14:textFill>
        </w:rPr>
      </w:pPr>
      <w:r>
        <w:rPr>
          <w:rFonts w:hint="eastAsia" w:ascii="宋体" w:hAnsi="宋体" w:cs="宋体"/>
          <w:b/>
          <w:color w:val="000000" w:themeColor="text1"/>
          <w:szCs w:val="24"/>
          <w:lang w:bidi="ar"/>
          <w14:textFill>
            <w14:solidFill>
              <w14:schemeClr w14:val="tx1"/>
            </w14:solidFill>
          </w14:textFill>
        </w:rPr>
        <w:t>十、双方责任义务</w:t>
      </w:r>
    </w:p>
    <w:p w14:paraId="1A2828AB">
      <w:pPr>
        <w:spacing w:line="360" w:lineRule="auto"/>
        <w:ind w:firstLine="480" w:firstLineChars="200"/>
        <w:rPr>
          <w:color w:val="000000" w:themeColor="text1"/>
          <w:szCs w:val="24"/>
          <w14:textFill>
            <w14:solidFill>
              <w14:schemeClr w14:val="tx1"/>
            </w14:solidFill>
          </w14:textFill>
        </w:rPr>
      </w:pPr>
      <w:r>
        <w:rPr>
          <w:rFonts w:ascii="Calibri" w:hAnsi="Calibri"/>
          <w:color w:val="000000" w:themeColor="text1"/>
          <w:szCs w:val="24"/>
          <w:lang w:bidi="ar"/>
          <w14:textFill>
            <w14:solidFill>
              <w14:schemeClr w14:val="tx1"/>
            </w14:solidFill>
          </w14:textFill>
        </w:rPr>
        <w:t>10.1</w:t>
      </w:r>
      <w:r>
        <w:rPr>
          <w:rFonts w:hint="eastAsia" w:ascii="宋体" w:hAnsi="宋体" w:cs="宋体"/>
          <w:color w:val="000000" w:themeColor="text1"/>
          <w:szCs w:val="24"/>
          <w:lang w:bidi="ar"/>
          <w14:textFill>
            <w14:solidFill>
              <w14:schemeClr w14:val="tx1"/>
            </w14:solidFill>
          </w14:textFill>
        </w:rPr>
        <w:t>、甲方权利和义务</w:t>
      </w:r>
    </w:p>
    <w:p w14:paraId="1641EA9C">
      <w:pPr>
        <w:spacing w:line="360" w:lineRule="auto"/>
        <w:ind w:firstLine="480" w:firstLineChars="200"/>
        <w:rPr>
          <w:color w:val="000000" w:themeColor="text1"/>
          <w:szCs w:val="24"/>
          <w14:textFill>
            <w14:solidFill>
              <w14:schemeClr w14:val="tx1"/>
            </w14:solidFill>
          </w14:textFill>
        </w:rPr>
      </w:pPr>
      <w:r>
        <w:rPr>
          <w:rFonts w:ascii="Calibri" w:hAnsi="Calibri"/>
          <w:color w:val="000000" w:themeColor="text1"/>
          <w:szCs w:val="24"/>
          <w:lang w:bidi="ar"/>
          <w14:textFill>
            <w14:solidFill>
              <w14:schemeClr w14:val="tx1"/>
            </w14:solidFill>
          </w14:textFill>
        </w:rPr>
        <w:t>10.1.1</w:t>
      </w:r>
      <w:r>
        <w:rPr>
          <w:rFonts w:hint="eastAsia" w:ascii="宋体" w:hAnsi="宋体" w:cs="宋体"/>
          <w:color w:val="000000" w:themeColor="text1"/>
          <w:szCs w:val="24"/>
          <w:lang w:bidi="ar"/>
          <w14:textFill>
            <w14:solidFill>
              <w14:schemeClr w14:val="tx1"/>
            </w14:solidFill>
          </w14:textFill>
        </w:rPr>
        <w:t>、负责与工程有关的环境事宜的协调工作</w:t>
      </w:r>
      <w:r>
        <w:rPr>
          <w:rFonts w:ascii="Calibri" w:hAnsi="Calibri" w:cs="Calibri"/>
          <w:color w:val="000000" w:themeColor="text1"/>
          <w:szCs w:val="24"/>
          <w:lang w:bidi="ar"/>
          <w14:textFill>
            <w14:solidFill>
              <w14:schemeClr w14:val="tx1"/>
            </w14:solidFill>
          </w14:textFill>
        </w:rPr>
        <w:t>(</w:t>
      </w:r>
      <w:r>
        <w:rPr>
          <w:rFonts w:hint="eastAsia" w:ascii="宋体" w:hAnsi="宋体" w:cs="宋体"/>
          <w:color w:val="000000" w:themeColor="text1"/>
          <w:szCs w:val="24"/>
          <w:lang w:bidi="ar"/>
          <w14:textFill>
            <w14:solidFill>
              <w14:schemeClr w14:val="tx1"/>
            </w14:solidFill>
          </w14:textFill>
        </w:rPr>
        <w:t>包括施工现场、进场施工运输道路、与地方政府、与当地居民的关系</w:t>
      </w:r>
      <w:r>
        <w:rPr>
          <w:rFonts w:ascii="Calibri" w:hAnsi="Calibri" w:cs="Calibri"/>
          <w:color w:val="000000" w:themeColor="text1"/>
          <w:szCs w:val="24"/>
          <w:lang w:bidi="ar"/>
          <w14:textFill>
            <w14:solidFill>
              <w14:schemeClr w14:val="tx1"/>
            </w14:solidFill>
          </w14:textFill>
        </w:rPr>
        <w:t>)</w:t>
      </w:r>
      <w:r>
        <w:rPr>
          <w:rFonts w:hint="eastAsia" w:ascii="宋体" w:hAnsi="宋体" w:cs="宋体"/>
          <w:color w:val="000000" w:themeColor="text1"/>
          <w:szCs w:val="24"/>
          <w:lang w:bidi="ar"/>
          <w14:textFill>
            <w14:solidFill>
              <w14:schemeClr w14:val="tx1"/>
            </w14:solidFill>
          </w14:textFill>
        </w:rPr>
        <w:t>，协助乙方在施工期间不受干扰，使工程能够按期竣工；</w:t>
      </w:r>
    </w:p>
    <w:p w14:paraId="095EDD66">
      <w:pPr>
        <w:spacing w:line="360" w:lineRule="auto"/>
        <w:ind w:firstLine="480" w:firstLineChars="200"/>
        <w:rPr>
          <w:color w:val="000000" w:themeColor="text1"/>
          <w:szCs w:val="24"/>
          <w14:textFill>
            <w14:solidFill>
              <w14:schemeClr w14:val="tx1"/>
            </w14:solidFill>
          </w14:textFill>
        </w:rPr>
      </w:pPr>
      <w:r>
        <w:rPr>
          <w:rFonts w:ascii="Calibri" w:hAnsi="Calibri"/>
          <w:color w:val="000000" w:themeColor="text1"/>
          <w:szCs w:val="24"/>
          <w:lang w:bidi="ar"/>
          <w14:textFill>
            <w14:solidFill>
              <w14:schemeClr w14:val="tx1"/>
            </w14:solidFill>
          </w14:textFill>
        </w:rPr>
        <w:t>10.1.2</w:t>
      </w:r>
      <w:r>
        <w:rPr>
          <w:rFonts w:hint="eastAsia" w:ascii="宋体" w:hAnsi="宋体" w:cs="宋体"/>
          <w:color w:val="000000" w:themeColor="text1"/>
          <w:szCs w:val="24"/>
          <w:lang w:bidi="ar"/>
          <w14:textFill>
            <w14:solidFill>
              <w14:schemeClr w14:val="tx1"/>
            </w14:solidFill>
          </w14:textFill>
        </w:rPr>
        <w:t>、对施工进度、质量、安全文明施工进行监督检查，负责现场签证、实际完成工程量进行确认等；</w:t>
      </w:r>
    </w:p>
    <w:p w14:paraId="4E4B5D28">
      <w:pPr>
        <w:spacing w:line="360" w:lineRule="auto"/>
        <w:ind w:firstLine="480" w:firstLineChars="200"/>
        <w:rPr>
          <w:color w:val="000000" w:themeColor="text1"/>
          <w:szCs w:val="24"/>
          <w14:textFill>
            <w14:solidFill>
              <w14:schemeClr w14:val="tx1"/>
            </w14:solidFill>
          </w14:textFill>
        </w:rPr>
      </w:pPr>
      <w:r>
        <w:rPr>
          <w:rFonts w:ascii="Calibri" w:hAnsi="Calibri"/>
          <w:color w:val="000000" w:themeColor="text1"/>
          <w:szCs w:val="24"/>
          <w:lang w:bidi="ar"/>
          <w14:textFill>
            <w14:solidFill>
              <w14:schemeClr w14:val="tx1"/>
            </w14:solidFill>
          </w14:textFill>
        </w:rPr>
        <w:t>10.1.3</w:t>
      </w:r>
      <w:r>
        <w:rPr>
          <w:rFonts w:hint="eastAsia" w:ascii="宋体" w:hAnsi="宋体" w:cs="宋体"/>
          <w:color w:val="000000" w:themeColor="text1"/>
          <w:szCs w:val="24"/>
          <w:lang w:bidi="ar"/>
          <w14:textFill>
            <w14:solidFill>
              <w14:schemeClr w14:val="tx1"/>
            </w14:solidFill>
          </w14:textFill>
        </w:rPr>
        <w:t>、发现乙方管理或施工质量、文明安全、进度或其他方面达不到要求，经提出仍得不到有效改正时，可随时对乙方采取批评、罚款、暂停计量支付、暂停施工直至解除合同等处罚；</w:t>
      </w:r>
    </w:p>
    <w:p w14:paraId="32B66C99">
      <w:pPr>
        <w:spacing w:line="360" w:lineRule="auto"/>
        <w:ind w:firstLine="480" w:firstLineChars="200"/>
        <w:rPr>
          <w:color w:val="000000" w:themeColor="text1"/>
          <w:szCs w:val="24"/>
          <w14:textFill>
            <w14:solidFill>
              <w14:schemeClr w14:val="tx1"/>
            </w14:solidFill>
          </w14:textFill>
        </w:rPr>
      </w:pPr>
      <w:r>
        <w:rPr>
          <w:rFonts w:ascii="Calibri" w:hAnsi="Calibri"/>
          <w:color w:val="000000" w:themeColor="text1"/>
          <w:szCs w:val="24"/>
          <w:lang w:bidi="ar"/>
          <w14:textFill>
            <w14:solidFill>
              <w14:schemeClr w14:val="tx1"/>
            </w14:solidFill>
          </w14:textFill>
        </w:rPr>
        <w:t>10.1.4</w:t>
      </w:r>
      <w:r>
        <w:rPr>
          <w:rFonts w:hint="eastAsia" w:ascii="宋体" w:hAnsi="宋体" w:cs="宋体"/>
          <w:color w:val="000000" w:themeColor="text1"/>
          <w:szCs w:val="24"/>
          <w:lang w:bidi="ar"/>
          <w14:textFill>
            <w14:solidFill>
              <w14:schemeClr w14:val="tx1"/>
            </w14:solidFill>
          </w14:textFill>
        </w:rPr>
        <w:t>、按时支付工程款。</w:t>
      </w:r>
    </w:p>
    <w:p w14:paraId="23BD0972">
      <w:pPr>
        <w:spacing w:line="360" w:lineRule="auto"/>
        <w:ind w:firstLine="480" w:firstLineChars="200"/>
        <w:rPr>
          <w:color w:val="000000" w:themeColor="text1"/>
          <w:szCs w:val="24"/>
          <w14:textFill>
            <w14:solidFill>
              <w14:schemeClr w14:val="tx1"/>
            </w14:solidFill>
          </w14:textFill>
        </w:rPr>
      </w:pPr>
      <w:r>
        <w:rPr>
          <w:rFonts w:ascii="Calibri" w:hAnsi="Calibri"/>
          <w:color w:val="000000" w:themeColor="text1"/>
          <w:szCs w:val="24"/>
          <w:lang w:bidi="ar"/>
          <w14:textFill>
            <w14:solidFill>
              <w14:schemeClr w14:val="tx1"/>
            </w14:solidFill>
          </w14:textFill>
        </w:rPr>
        <w:t>10.2</w:t>
      </w:r>
      <w:r>
        <w:rPr>
          <w:rFonts w:hint="eastAsia" w:ascii="宋体" w:hAnsi="宋体" w:cs="宋体"/>
          <w:color w:val="000000" w:themeColor="text1"/>
          <w:szCs w:val="24"/>
          <w:lang w:bidi="ar"/>
          <w14:textFill>
            <w14:solidFill>
              <w14:schemeClr w14:val="tx1"/>
            </w14:solidFill>
          </w14:textFill>
        </w:rPr>
        <w:t>、乙方权利和义务</w:t>
      </w:r>
    </w:p>
    <w:p w14:paraId="4C5D9F28">
      <w:pPr>
        <w:spacing w:line="360" w:lineRule="auto"/>
        <w:ind w:firstLine="480" w:firstLineChars="200"/>
        <w:rPr>
          <w:color w:val="000000" w:themeColor="text1"/>
          <w:szCs w:val="24"/>
          <w14:textFill>
            <w14:solidFill>
              <w14:schemeClr w14:val="tx1"/>
            </w14:solidFill>
          </w14:textFill>
        </w:rPr>
      </w:pPr>
      <w:r>
        <w:rPr>
          <w:rFonts w:ascii="Calibri" w:hAnsi="Calibri"/>
          <w:color w:val="000000" w:themeColor="text1"/>
          <w:szCs w:val="24"/>
          <w:lang w:bidi="ar"/>
          <w14:textFill>
            <w14:solidFill>
              <w14:schemeClr w14:val="tx1"/>
            </w14:solidFill>
          </w14:textFill>
        </w:rPr>
        <w:t>10.2.1</w:t>
      </w:r>
      <w:r>
        <w:rPr>
          <w:rFonts w:hint="eastAsia" w:ascii="宋体" w:hAnsi="宋体" w:cs="宋体"/>
          <w:color w:val="000000" w:themeColor="text1"/>
          <w:szCs w:val="24"/>
          <w:lang w:bidi="ar"/>
          <w14:textFill>
            <w14:solidFill>
              <w14:schemeClr w14:val="tx1"/>
            </w14:solidFill>
          </w14:textFill>
        </w:rPr>
        <w:t>、根据甲方委托，严格按照施工图精心施工，保证工程进度和工程质量；</w:t>
      </w:r>
    </w:p>
    <w:p w14:paraId="0863D639">
      <w:pPr>
        <w:spacing w:line="360" w:lineRule="auto"/>
        <w:ind w:firstLine="480" w:firstLineChars="200"/>
        <w:rPr>
          <w:color w:val="000000" w:themeColor="text1"/>
          <w:szCs w:val="24"/>
          <w14:textFill>
            <w14:solidFill>
              <w14:schemeClr w14:val="tx1"/>
            </w14:solidFill>
          </w14:textFill>
        </w:rPr>
      </w:pPr>
      <w:r>
        <w:rPr>
          <w:rFonts w:ascii="Calibri" w:hAnsi="Calibri"/>
          <w:color w:val="000000" w:themeColor="text1"/>
          <w:szCs w:val="24"/>
          <w:lang w:bidi="ar"/>
          <w14:textFill>
            <w14:solidFill>
              <w14:schemeClr w14:val="tx1"/>
            </w14:solidFill>
          </w14:textFill>
        </w:rPr>
        <w:t>10.2.2</w:t>
      </w:r>
      <w:r>
        <w:rPr>
          <w:rFonts w:hint="eastAsia" w:ascii="宋体" w:hAnsi="宋体" w:cs="宋体"/>
          <w:color w:val="000000" w:themeColor="text1"/>
          <w:szCs w:val="24"/>
          <w:lang w:bidi="ar"/>
          <w14:textFill>
            <w14:solidFill>
              <w14:schemeClr w14:val="tx1"/>
            </w14:solidFill>
          </w14:textFill>
        </w:rPr>
        <w:t>、做</w:t>
      </w:r>
      <w:bookmarkStart w:id="4" w:name="_GoBack"/>
      <w:bookmarkEnd w:id="4"/>
      <w:r>
        <w:rPr>
          <w:rFonts w:hint="eastAsia" w:ascii="宋体" w:hAnsi="宋体" w:cs="宋体"/>
          <w:color w:val="000000" w:themeColor="text1"/>
          <w:szCs w:val="24"/>
          <w:lang w:bidi="ar"/>
          <w14:textFill>
            <w14:solidFill>
              <w14:schemeClr w14:val="tx1"/>
            </w14:solidFill>
          </w14:textFill>
        </w:rPr>
        <w:t>好施工场地地下管线和邻近建筑物、构筑物</w:t>
      </w:r>
      <w:r>
        <w:rPr>
          <w:rFonts w:ascii="Calibri" w:hAnsi="Calibri" w:cs="Calibri"/>
          <w:color w:val="000000" w:themeColor="text1"/>
          <w:szCs w:val="24"/>
          <w:lang w:bidi="ar"/>
          <w14:textFill>
            <w14:solidFill>
              <w14:schemeClr w14:val="tx1"/>
            </w14:solidFill>
          </w14:textFill>
        </w:rPr>
        <w:t>(</w:t>
      </w:r>
      <w:r>
        <w:rPr>
          <w:rFonts w:hint="eastAsia" w:ascii="宋体" w:hAnsi="宋体" w:cs="宋体"/>
          <w:color w:val="000000" w:themeColor="text1"/>
          <w:szCs w:val="24"/>
          <w:lang w:bidi="ar"/>
          <w14:textFill>
            <w14:solidFill>
              <w14:schemeClr w14:val="tx1"/>
            </w14:solidFill>
          </w14:textFill>
        </w:rPr>
        <w:t>包括文物保护建筑</w:t>
      </w:r>
      <w:r>
        <w:rPr>
          <w:rFonts w:ascii="Calibri" w:hAnsi="Calibri" w:cs="Calibri"/>
          <w:color w:val="000000" w:themeColor="text1"/>
          <w:szCs w:val="24"/>
          <w:lang w:bidi="ar"/>
          <w14:textFill>
            <w14:solidFill>
              <w14:schemeClr w14:val="tx1"/>
            </w14:solidFill>
          </w14:textFill>
        </w:rPr>
        <w:t>)</w:t>
      </w:r>
      <w:r>
        <w:rPr>
          <w:rFonts w:hint="eastAsia" w:ascii="宋体" w:hAnsi="宋体" w:cs="宋体"/>
          <w:color w:val="000000" w:themeColor="text1"/>
          <w:szCs w:val="24"/>
          <w:lang w:bidi="ar"/>
          <w14:textFill>
            <w14:solidFill>
              <w14:schemeClr w14:val="tx1"/>
            </w14:solidFill>
          </w14:textFill>
        </w:rPr>
        <w:t>、古树名木的保护工作；</w:t>
      </w:r>
    </w:p>
    <w:p w14:paraId="5545EDDD">
      <w:pPr>
        <w:spacing w:line="360" w:lineRule="auto"/>
        <w:ind w:firstLine="480" w:firstLineChars="200"/>
        <w:rPr>
          <w:color w:val="000000" w:themeColor="text1"/>
          <w:szCs w:val="24"/>
          <w14:textFill>
            <w14:solidFill>
              <w14:schemeClr w14:val="tx1"/>
            </w14:solidFill>
          </w14:textFill>
        </w:rPr>
      </w:pPr>
      <w:r>
        <w:rPr>
          <w:rFonts w:ascii="Calibri" w:hAnsi="Calibri"/>
          <w:color w:val="000000" w:themeColor="text1"/>
          <w:szCs w:val="24"/>
          <w:lang w:bidi="ar"/>
          <w14:textFill>
            <w14:solidFill>
              <w14:schemeClr w14:val="tx1"/>
            </w14:solidFill>
          </w14:textFill>
        </w:rPr>
        <w:t>10.2.3</w:t>
      </w:r>
      <w:r>
        <w:rPr>
          <w:rFonts w:hint="eastAsia" w:ascii="宋体" w:hAnsi="宋体" w:cs="宋体"/>
          <w:color w:val="000000" w:themeColor="text1"/>
          <w:szCs w:val="24"/>
          <w:lang w:bidi="ar"/>
          <w14:textFill>
            <w14:solidFill>
              <w14:schemeClr w14:val="tx1"/>
            </w14:solidFill>
          </w14:textFill>
        </w:rPr>
        <w:t>、遵守政府及甲方有关主管部门对施工场地安全防护、文明施工、环境保护以及场地交通等的管理规定，按规定办理有关手续；</w:t>
      </w:r>
    </w:p>
    <w:p w14:paraId="7CEF6A90">
      <w:pPr>
        <w:spacing w:line="360" w:lineRule="auto"/>
        <w:ind w:firstLine="480" w:firstLineChars="200"/>
        <w:rPr>
          <w:color w:val="000000" w:themeColor="text1"/>
          <w:szCs w:val="24"/>
          <w14:textFill>
            <w14:solidFill>
              <w14:schemeClr w14:val="tx1"/>
            </w14:solidFill>
          </w14:textFill>
        </w:rPr>
      </w:pPr>
      <w:r>
        <w:rPr>
          <w:rFonts w:ascii="Calibri" w:hAnsi="Calibri"/>
          <w:color w:val="000000" w:themeColor="text1"/>
          <w:szCs w:val="24"/>
          <w:lang w:bidi="ar"/>
          <w14:textFill>
            <w14:solidFill>
              <w14:schemeClr w14:val="tx1"/>
            </w14:solidFill>
          </w14:textFill>
        </w:rPr>
        <w:t>10.2.4</w:t>
      </w:r>
      <w:r>
        <w:rPr>
          <w:rFonts w:hint="eastAsia" w:ascii="宋体" w:hAnsi="宋体" w:cs="宋体"/>
          <w:color w:val="000000" w:themeColor="text1"/>
          <w:szCs w:val="24"/>
          <w:lang w:bidi="ar"/>
          <w14:textFill>
            <w14:solidFill>
              <w14:schemeClr w14:val="tx1"/>
            </w14:solidFill>
          </w14:textFill>
        </w:rPr>
        <w:t>、工程质保期内，履行质保义务；</w:t>
      </w:r>
    </w:p>
    <w:p w14:paraId="6CF3BEE2">
      <w:pPr>
        <w:spacing w:line="360" w:lineRule="auto"/>
        <w:ind w:firstLine="480" w:firstLineChars="200"/>
        <w:rPr>
          <w:color w:val="000000" w:themeColor="text1"/>
          <w:szCs w:val="24"/>
          <w14:textFill>
            <w14:solidFill>
              <w14:schemeClr w14:val="tx1"/>
            </w14:solidFill>
          </w14:textFill>
        </w:rPr>
      </w:pPr>
      <w:r>
        <w:rPr>
          <w:rFonts w:ascii="Calibri" w:hAnsi="Calibri"/>
          <w:color w:val="000000" w:themeColor="text1"/>
          <w:szCs w:val="24"/>
          <w:lang w:bidi="ar"/>
          <w14:textFill>
            <w14:solidFill>
              <w14:schemeClr w14:val="tx1"/>
            </w14:solidFill>
          </w14:textFill>
        </w:rPr>
        <w:t>10.2.5</w:t>
      </w:r>
      <w:r>
        <w:rPr>
          <w:rFonts w:hint="eastAsia" w:ascii="宋体" w:hAnsi="宋体" w:cs="宋体"/>
          <w:color w:val="000000" w:themeColor="text1"/>
          <w:szCs w:val="24"/>
          <w:lang w:bidi="ar"/>
          <w14:textFill>
            <w14:solidFill>
              <w14:schemeClr w14:val="tx1"/>
            </w14:solidFill>
          </w14:textFill>
        </w:rPr>
        <w:t>、乙方应严格遵守甲方有关管理、奖罚制度，否则甲方将按照有关管理、奖罚制度进行处理；</w:t>
      </w:r>
    </w:p>
    <w:p w14:paraId="117061B8">
      <w:pPr>
        <w:spacing w:line="360" w:lineRule="auto"/>
        <w:ind w:firstLine="480" w:firstLineChars="200"/>
        <w:rPr>
          <w:color w:val="000000" w:themeColor="text1"/>
          <w:szCs w:val="24"/>
          <w14:textFill>
            <w14:solidFill>
              <w14:schemeClr w14:val="tx1"/>
            </w14:solidFill>
          </w14:textFill>
        </w:rPr>
      </w:pPr>
      <w:r>
        <w:rPr>
          <w:rFonts w:ascii="Calibri" w:hAnsi="Calibri"/>
          <w:color w:val="000000" w:themeColor="text1"/>
          <w:szCs w:val="24"/>
          <w:lang w:bidi="ar"/>
          <w14:textFill>
            <w14:solidFill>
              <w14:schemeClr w14:val="tx1"/>
            </w14:solidFill>
          </w14:textFill>
        </w:rPr>
        <w:t>10.2.6</w:t>
      </w:r>
      <w:r>
        <w:rPr>
          <w:rFonts w:hint="eastAsia" w:ascii="宋体" w:hAnsi="宋体" w:cs="宋体"/>
          <w:color w:val="000000" w:themeColor="text1"/>
          <w:szCs w:val="24"/>
          <w:lang w:bidi="ar"/>
          <w14:textFill>
            <w14:solidFill>
              <w14:schemeClr w14:val="tx1"/>
            </w14:solidFill>
          </w14:textFill>
        </w:rPr>
        <w:t>、乙方应按招标人要求及时联系办理电力供电手续及相关部门手续，如未能联系办理相关手续，由此给甲方造成的损失，由乙方承担；</w:t>
      </w:r>
    </w:p>
    <w:p w14:paraId="7EB9A7AD">
      <w:pPr>
        <w:spacing w:line="360" w:lineRule="auto"/>
        <w:ind w:firstLine="480" w:firstLineChars="200"/>
        <w:rPr>
          <w:color w:val="000000" w:themeColor="text1"/>
          <w:szCs w:val="24"/>
          <w14:textFill>
            <w14:solidFill>
              <w14:schemeClr w14:val="tx1"/>
            </w14:solidFill>
          </w14:textFill>
        </w:rPr>
      </w:pPr>
      <w:r>
        <w:rPr>
          <w:rFonts w:ascii="Calibri" w:hAnsi="Calibri"/>
          <w:color w:val="000000" w:themeColor="text1"/>
          <w:szCs w:val="24"/>
          <w:lang w:bidi="ar"/>
          <w14:textFill>
            <w14:solidFill>
              <w14:schemeClr w14:val="tx1"/>
            </w14:solidFill>
          </w14:textFill>
        </w:rPr>
        <w:t>10.2.7</w:t>
      </w:r>
      <w:r>
        <w:rPr>
          <w:rFonts w:hint="eastAsia" w:ascii="宋体" w:hAnsi="宋体" w:cs="宋体"/>
          <w:color w:val="000000" w:themeColor="text1"/>
          <w:szCs w:val="24"/>
          <w:lang w:bidi="ar"/>
          <w14:textFill>
            <w14:solidFill>
              <w14:schemeClr w14:val="tx1"/>
            </w14:solidFill>
          </w14:textFill>
        </w:rPr>
        <w:t>、乙方应严格遵守甲方有关管理、奖罚制度，否则甲方将按照有关管理、奖罚制度进行处理。</w:t>
      </w:r>
    </w:p>
    <w:p w14:paraId="6A0E7755">
      <w:pPr>
        <w:spacing w:line="360" w:lineRule="auto"/>
        <w:rPr>
          <w:b/>
          <w:color w:val="000000" w:themeColor="text1"/>
          <w:szCs w:val="24"/>
          <w14:textFill>
            <w14:solidFill>
              <w14:schemeClr w14:val="tx1"/>
            </w14:solidFill>
          </w14:textFill>
        </w:rPr>
      </w:pPr>
      <w:r>
        <w:rPr>
          <w:rFonts w:hint="eastAsia" w:ascii="宋体" w:hAnsi="宋体" w:cs="宋体"/>
          <w:b/>
          <w:color w:val="000000" w:themeColor="text1"/>
          <w:szCs w:val="24"/>
          <w:lang w:bidi="ar"/>
          <w14:textFill>
            <w14:solidFill>
              <w14:schemeClr w14:val="tx1"/>
            </w14:solidFill>
          </w14:textFill>
        </w:rPr>
        <w:t>十一、安全防护及事故处理</w:t>
      </w:r>
    </w:p>
    <w:p w14:paraId="2836EE58">
      <w:pPr>
        <w:spacing w:line="360" w:lineRule="auto"/>
        <w:ind w:firstLine="480" w:firstLineChars="200"/>
        <w:rPr>
          <w:color w:val="000000" w:themeColor="text1"/>
          <w:szCs w:val="24"/>
          <w14:textFill>
            <w14:solidFill>
              <w14:schemeClr w14:val="tx1"/>
            </w14:solidFill>
          </w14:textFill>
        </w:rPr>
      </w:pPr>
      <w:r>
        <w:rPr>
          <w:rFonts w:hint="eastAsia" w:ascii="宋体" w:hAnsi="宋体" w:cs="宋体"/>
          <w:color w:val="000000" w:themeColor="text1"/>
          <w:szCs w:val="24"/>
          <w:lang w:bidi="ar"/>
          <w14:textFill>
            <w14:solidFill>
              <w14:schemeClr w14:val="tx1"/>
            </w14:solidFill>
          </w14:textFill>
        </w:rPr>
        <w:t>11.1乙方应当严格遵守安全生产作业的有关管理制度并承担安全施工责任，并随时接受行业安全检查人员依法实施的监督检查，采取必要的安全防护措施，消除事故隐患。由于乙方安全措施不力造成事故的责任和因此发生的费用，由乙方承担。同时，甲方可暂停进度款支付；</w:t>
      </w:r>
    </w:p>
    <w:p w14:paraId="29C84385">
      <w:pPr>
        <w:spacing w:line="360" w:lineRule="auto"/>
        <w:ind w:firstLine="480" w:firstLineChars="200"/>
        <w:rPr>
          <w:b/>
          <w:color w:val="000000" w:themeColor="text1"/>
          <w:szCs w:val="24"/>
          <w14:textFill>
            <w14:solidFill>
              <w14:schemeClr w14:val="tx1"/>
            </w14:solidFill>
          </w14:textFill>
        </w:rPr>
      </w:pPr>
      <w:r>
        <w:rPr>
          <w:rFonts w:hint="eastAsia" w:ascii="宋体" w:hAnsi="宋体" w:cs="宋体"/>
          <w:color w:val="000000" w:themeColor="text1"/>
          <w:szCs w:val="24"/>
          <w:lang w:bidi="ar"/>
          <w14:textFill>
            <w14:solidFill>
              <w14:schemeClr w14:val="tx1"/>
            </w14:solidFill>
          </w14:textFill>
        </w:rPr>
        <w:t>11.2乙方应对其在现场的工作人员进行安全教育</w:t>
      </w:r>
      <w:r>
        <w:rPr>
          <w:rFonts w:ascii="Calibri" w:hAnsi="Calibri"/>
          <w:color w:val="000000" w:themeColor="text1"/>
          <w:szCs w:val="24"/>
          <w:lang w:bidi="ar"/>
          <w14:textFill>
            <w14:solidFill>
              <w14:schemeClr w14:val="tx1"/>
            </w14:solidFill>
          </w14:textFill>
        </w:rPr>
        <w:t>,</w:t>
      </w:r>
      <w:r>
        <w:rPr>
          <w:rFonts w:hint="eastAsia" w:ascii="宋体" w:hAnsi="宋体" w:cs="宋体"/>
          <w:color w:val="000000" w:themeColor="text1"/>
          <w:szCs w:val="24"/>
          <w:lang w:bidi="ar"/>
          <w14:textFill>
            <w14:solidFill>
              <w14:schemeClr w14:val="tx1"/>
            </w14:solidFill>
          </w14:textFill>
        </w:rPr>
        <w:t>并对他们的安全负责；</w:t>
      </w:r>
    </w:p>
    <w:p w14:paraId="499795FB">
      <w:pPr>
        <w:spacing w:line="360" w:lineRule="auto"/>
        <w:ind w:firstLine="480" w:firstLineChars="200"/>
        <w:rPr>
          <w:rFonts w:ascii="新宋体" w:hAnsi="新宋体" w:eastAsia="新宋体" w:cs="新宋体"/>
          <w:color w:val="000000" w:themeColor="text1"/>
          <w:szCs w:val="24"/>
          <w14:textFill>
            <w14:solidFill>
              <w14:schemeClr w14:val="tx1"/>
            </w14:solidFill>
          </w14:textFill>
        </w:rPr>
      </w:pPr>
      <w:r>
        <w:rPr>
          <w:rFonts w:hint="eastAsia" w:ascii="新宋体" w:hAnsi="新宋体" w:eastAsia="新宋体" w:cs="新宋体"/>
          <w:color w:val="000000" w:themeColor="text1"/>
          <w:szCs w:val="24"/>
          <w:lang w:bidi="ar"/>
          <w14:textFill>
            <w14:solidFill>
              <w14:schemeClr w14:val="tx1"/>
            </w14:solidFill>
          </w14:textFill>
        </w:rPr>
        <w:t>11.3 本项目实施期间，若发生重大伤亡及其他安全事故，乙方应按有关规定立即上报有关部门并通知甲方代表。同时按照政府有关部分要求处理，由事故责任方承担发生的费用。</w:t>
      </w:r>
    </w:p>
    <w:p w14:paraId="70E94652">
      <w:pPr>
        <w:spacing w:line="360" w:lineRule="auto"/>
        <w:rPr>
          <w:rFonts w:ascii="新宋体" w:hAnsi="新宋体" w:eastAsia="新宋体" w:cs="新宋体"/>
          <w:b/>
          <w:color w:val="000000" w:themeColor="text1"/>
          <w:szCs w:val="24"/>
          <w14:textFill>
            <w14:solidFill>
              <w14:schemeClr w14:val="tx1"/>
            </w14:solidFill>
          </w14:textFill>
        </w:rPr>
      </w:pPr>
      <w:r>
        <w:rPr>
          <w:rFonts w:hint="eastAsia" w:ascii="新宋体" w:hAnsi="新宋体" w:eastAsia="新宋体" w:cs="新宋体"/>
          <w:b/>
          <w:color w:val="000000" w:themeColor="text1"/>
          <w:szCs w:val="24"/>
          <w:lang w:bidi="ar"/>
          <w14:textFill>
            <w14:solidFill>
              <w14:schemeClr w14:val="tx1"/>
            </w14:solidFill>
          </w14:textFill>
        </w:rPr>
        <w:t>十二、违约责任</w:t>
      </w:r>
    </w:p>
    <w:p w14:paraId="290AFB4E">
      <w:pPr>
        <w:spacing w:line="360" w:lineRule="auto"/>
        <w:ind w:firstLine="480" w:firstLineChars="200"/>
        <w:rPr>
          <w:rFonts w:ascii="新宋体" w:hAnsi="新宋体" w:eastAsia="新宋体" w:cs="新宋体"/>
          <w:color w:val="000000" w:themeColor="text1"/>
          <w:szCs w:val="24"/>
          <w14:textFill>
            <w14:solidFill>
              <w14:schemeClr w14:val="tx1"/>
            </w14:solidFill>
          </w14:textFill>
        </w:rPr>
      </w:pPr>
      <w:r>
        <w:rPr>
          <w:rFonts w:hint="eastAsia" w:ascii="新宋体" w:hAnsi="新宋体" w:eastAsia="新宋体" w:cs="新宋体"/>
          <w:color w:val="000000" w:themeColor="text1"/>
          <w:szCs w:val="24"/>
          <w:lang w:bidi="ar"/>
          <w14:textFill>
            <w14:solidFill>
              <w14:schemeClr w14:val="tx1"/>
            </w14:solidFill>
          </w14:textFill>
        </w:rPr>
        <w:t>12.1 甲方不履行其合同义务，甲方承担违约责任，应赔偿因其违约给乙方造成的经济损失</w:t>
      </w:r>
      <w:r>
        <w:rPr>
          <w:rFonts w:hint="eastAsia" w:ascii="宋体" w:hAnsi="宋体" w:cs="宋体"/>
          <w:color w:val="000000" w:themeColor="text1"/>
          <w:szCs w:val="24"/>
          <w:lang w:bidi="ar"/>
          <w14:textFill>
            <w14:solidFill>
              <w14:schemeClr w14:val="tx1"/>
            </w14:solidFill>
          </w14:textFill>
        </w:rPr>
        <w:t>；</w:t>
      </w:r>
    </w:p>
    <w:p w14:paraId="2F1F0A0C">
      <w:pPr>
        <w:spacing w:line="360" w:lineRule="auto"/>
        <w:ind w:firstLine="480" w:firstLineChars="200"/>
        <w:rPr>
          <w:rFonts w:ascii="新宋体" w:hAnsi="新宋体" w:eastAsia="新宋体" w:cs="新宋体"/>
          <w:color w:val="000000" w:themeColor="text1"/>
          <w:szCs w:val="24"/>
          <w14:textFill>
            <w14:solidFill>
              <w14:schemeClr w14:val="tx1"/>
            </w14:solidFill>
          </w14:textFill>
        </w:rPr>
      </w:pPr>
      <w:r>
        <w:rPr>
          <w:rFonts w:hint="eastAsia" w:ascii="新宋体" w:hAnsi="新宋体" w:eastAsia="新宋体" w:cs="新宋体"/>
          <w:color w:val="000000" w:themeColor="text1"/>
          <w:szCs w:val="24"/>
          <w:lang w:bidi="ar"/>
          <w14:textFill>
            <w14:solidFill>
              <w14:schemeClr w14:val="tx1"/>
            </w14:solidFill>
          </w14:textFill>
        </w:rPr>
        <w:t>12.2、乙方不履行其合同义务或工程质量不能满足要求，乙方承担违约责任，应赔偿因其违约给甲方造成的经济损失，且甲方有权终止合同</w:t>
      </w:r>
      <w:r>
        <w:rPr>
          <w:rFonts w:hint="eastAsia" w:ascii="宋体" w:hAnsi="宋体" w:cs="宋体"/>
          <w:color w:val="000000" w:themeColor="text1"/>
          <w:szCs w:val="24"/>
          <w:lang w:bidi="ar"/>
          <w14:textFill>
            <w14:solidFill>
              <w14:schemeClr w14:val="tx1"/>
            </w14:solidFill>
          </w14:textFill>
        </w:rPr>
        <w:t>；</w:t>
      </w:r>
    </w:p>
    <w:p w14:paraId="57D93E92">
      <w:pPr>
        <w:spacing w:line="360" w:lineRule="auto"/>
        <w:ind w:firstLine="480" w:firstLineChars="200"/>
        <w:rPr>
          <w:rFonts w:ascii="新宋体" w:hAnsi="新宋体" w:eastAsia="新宋体" w:cs="新宋体"/>
          <w:color w:val="000000" w:themeColor="text1"/>
          <w:szCs w:val="24"/>
          <w14:textFill>
            <w14:solidFill>
              <w14:schemeClr w14:val="tx1"/>
            </w14:solidFill>
          </w14:textFill>
        </w:rPr>
      </w:pPr>
      <w:r>
        <w:rPr>
          <w:rFonts w:hint="eastAsia" w:ascii="新宋体" w:hAnsi="新宋体" w:eastAsia="新宋体" w:cs="新宋体"/>
          <w:color w:val="000000" w:themeColor="text1"/>
          <w:szCs w:val="24"/>
          <w:lang w:bidi="ar"/>
          <w14:textFill>
            <w14:solidFill>
              <w14:schemeClr w14:val="tx1"/>
            </w14:solidFill>
          </w14:textFill>
        </w:rPr>
        <w:t>12.3、未经甲方同意，乙方不得将工程转包、分包给其他施工单位或个人，否则甲方有权单方解除本合同，且乙方应赔偿由此给甲方造成的经济损失</w:t>
      </w:r>
      <w:r>
        <w:rPr>
          <w:rFonts w:hint="eastAsia" w:ascii="宋体" w:hAnsi="宋体" w:cs="宋体"/>
          <w:color w:val="000000" w:themeColor="text1"/>
          <w:szCs w:val="24"/>
          <w:lang w:bidi="ar"/>
          <w14:textFill>
            <w14:solidFill>
              <w14:schemeClr w14:val="tx1"/>
            </w14:solidFill>
          </w14:textFill>
        </w:rPr>
        <w:t>；</w:t>
      </w:r>
    </w:p>
    <w:p w14:paraId="2BC46731">
      <w:pPr>
        <w:spacing w:line="360" w:lineRule="auto"/>
        <w:ind w:firstLine="480" w:firstLineChars="200"/>
        <w:rPr>
          <w:rFonts w:ascii="新宋体" w:hAnsi="新宋体" w:eastAsia="新宋体" w:cs="新宋体"/>
          <w:color w:val="000000" w:themeColor="text1"/>
          <w:szCs w:val="24"/>
          <w14:textFill>
            <w14:solidFill>
              <w14:schemeClr w14:val="tx1"/>
            </w14:solidFill>
          </w14:textFill>
        </w:rPr>
      </w:pPr>
      <w:r>
        <w:rPr>
          <w:rFonts w:hint="eastAsia" w:ascii="新宋体" w:hAnsi="新宋体" w:eastAsia="新宋体" w:cs="新宋体"/>
          <w:color w:val="000000" w:themeColor="text1"/>
          <w:szCs w:val="24"/>
          <w:lang w:bidi="ar"/>
          <w14:textFill>
            <w14:solidFill>
              <w14:schemeClr w14:val="tx1"/>
            </w14:solidFill>
          </w14:textFill>
        </w:rPr>
        <w:t>12.4、本合同项下因乙方违约甲方单方终止合同后，乙方应赔偿由此给甲方及第三方造成的一切直接及间接损失。</w:t>
      </w:r>
    </w:p>
    <w:p w14:paraId="6DEF184A">
      <w:pPr>
        <w:spacing w:line="360" w:lineRule="auto"/>
        <w:rPr>
          <w:rFonts w:ascii="新宋体" w:hAnsi="新宋体" w:eastAsia="新宋体" w:cs="新宋体"/>
          <w:b/>
          <w:color w:val="000000" w:themeColor="text1"/>
          <w:szCs w:val="24"/>
          <w14:textFill>
            <w14:solidFill>
              <w14:schemeClr w14:val="tx1"/>
            </w14:solidFill>
          </w14:textFill>
        </w:rPr>
      </w:pPr>
      <w:r>
        <w:rPr>
          <w:rFonts w:hint="eastAsia" w:ascii="新宋体" w:hAnsi="新宋体" w:eastAsia="新宋体" w:cs="新宋体"/>
          <w:b/>
          <w:color w:val="000000" w:themeColor="text1"/>
          <w:szCs w:val="24"/>
          <w:lang w:bidi="ar"/>
          <w14:textFill>
            <w14:solidFill>
              <w14:schemeClr w14:val="tx1"/>
            </w14:solidFill>
          </w14:textFill>
        </w:rPr>
        <w:t>十三、合同争议的解决</w:t>
      </w:r>
    </w:p>
    <w:p w14:paraId="7AA2D0C8">
      <w:pPr>
        <w:spacing w:line="360" w:lineRule="auto"/>
        <w:ind w:firstLine="480" w:firstLineChars="200"/>
        <w:rPr>
          <w:rFonts w:ascii="新宋体" w:hAnsi="新宋体" w:eastAsia="新宋体" w:cs="新宋体"/>
          <w:color w:val="000000" w:themeColor="text1"/>
          <w:szCs w:val="24"/>
          <w14:textFill>
            <w14:solidFill>
              <w14:schemeClr w14:val="tx1"/>
            </w14:solidFill>
          </w14:textFill>
        </w:rPr>
      </w:pPr>
      <w:r>
        <w:rPr>
          <w:rFonts w:hint="eastAsia" w:ascii="新宋体" w:hAnsi="新宋体" w:eastAsia="新宋体" w:cs="新宋体"/>
          <w:color w:val="000000" w:themeColor="text1"/>
          <w:szCs w:val="24"/>
          <w:lang w:bidi="ar"/>
          <w14:textFill>
            <w14:solidFill>
              <w14:schemeClr w14:val="tx1"/>
            </w14:solidFill>
          </w14:textFill>
        </w:rPr>
        <w:t>本合同执行过程中发生纠纷，双方应及时协商解决。协商不成时，由当地建设行政主管部门调解；调解不成时，双方同意向甲方住所地有管辖权的人民法院提起诉讼。</w:t>
      </w:r>
    </w:p>
    <w:p w14:paraId="5637944E">
      <w:pPr>
        <w:spacing w:line="360" w:lineRule="auto"/>
        <w:rPr>
          <w:rFonts w:ascii="新宋体" w:hAnsi="新宋体" w:eastAsia="新宋体" w:cs="新宋体"/>
          <w:b/>
          <w:color w:val="000000" w:themeColor="text1"/>
          <w:szCs w:val="24"/>
          <w14:textFill>
            <w14:solidFill>
              <w14:schemeClr w14:val="tx1"/>
            </w14:solidFill>
          </w14:textFill>
        </w:rPr>
      </w:pPr>
      <w:r>
        <w:rPr>
          <w:rFonts w:hint="eastAsia" w:ascii="新宋体" w:hAnsi="新宋体" w:eastAsia="新宋体" w:cs="新宋体"/>
          <w:b/>
          <w:color w:val="000000" w:themeColor="text1"/>
          <w:szCs w:val="24"/>
          <w:lang w:bidi="ar"/>
          <w14:textFill>
            <w14:solidFill>
              <w14:schemeClr w14:val="tx1"/>
            </w14:solidFill>
          </w14:textFill>
        </w:rPr>
        <w:t>十四、合同的生效、终止。</w:t>
      </w:r>
    </w:p>
    <w:p w14:paraId="556E3D6D">
      <w:pPr>
        <w:spacing w:line="360" w:lineRule="auto"/>
        <w:ind w:left="480" w:leftChars="200"/>
        <w:rPr>
          <w:rFonts w:ascii="新宋体" w:hAnsi="新宋体" w:eastAsia="新宋体" w:cs="新宋体"/>
          <w:color w:val="000000" w:themeColor="text1"/>
          <w:szCs w:val="24"/>
          <w14:textFill>
            <w14:solidFill>
              <w14:schemeClr w14:val="tx1"/>
            </w14:solidFill>
          </w14:textFill>
        </w:rPr>
      </w:pPr>
      <w:r>
        <w:rPr>
          <w:rFonts w:hint="eastAsia" w:ascii="新宋体" w:hAnsi="新宋体" w:eastAsia="新宋体" w:cs="新宋体"/>
          <w:color w:val="000000" w:themeColor="text1"/>
          <w:szCs w:val="24"/>
          <w:lang w:bidi="ar"/>
          <w14:textFill>
            <w14:solidFill>
              <w14:schemeClr w14:val="tx1"/>
            </w14:solidFill>
          </w14:textFill>
        </w:rPr>
        <w:t>14.1、合同经双方法定代表人（或委托代理人）签字盖章后生效。工程完工，</w:t>
      </w:r>
    </w:p>
    <w:p w14:paraId="404D070B">
      <w:pPr>
        <w:spacing w:line="360" w:lineRule="auto"/>
        <w:rPr>
          <w:rFonts w:ascii="新宋体" w:hAnsi="新宋体" w:eastAsia="新宋体" w:cs="新宋体"/>
          <w:color w:val="000000" w:themeColor="text1"/>
          <w:szCs w:val="24"/>
          <w14:textFill>
            <w14:solidFill>
              <w14:schemeClr w14:val="tx1"/>
            </w14:solidFill>
          </w14:textFill>
        </w:rPr>
      </w:pPr>
      <w:r>
        <w:rPr>
          <w:rFonts w:hint="eastAsia" w:ascii="新宋体" w:hAnsi="新宋体" w:eastAsia="新宋体" w:cs="新宋体"/>
          <w:color w:val="000000" w:themeColor="text1"/>
          <w:szCs w:val="24"/>
          <w:lang w:bidi="ar"/>
          <w14:textFill>
            <w14:solidFill>
              <w14:schemeClr w14:val="tx1"/>
            </w14:solidFill>
          </w14:textFill>
        </w:rPr>
        <w:t>双方结算并付清全部工程款后，合同自行终止。</w:t>
      </w:r>
    </w:p>
    <w:p w14:paraId="4191DF93">
      <w:pPr>
        <w:spacing w:line="360" w:lineRule="auto"/>
        <w:ind w:firstLine="480"/>
        <w:rPr>
          <w:rFonts w:hint="eastAsia" w:ascii="新宋体" w:hAnsi="新宋体" w:eastAsia="新宋体" w:cs="新宋体"/>
          <w:color w:val="000000" w:themeColor="text1"/>
          <w:szCs w:val="24"/>
          <w:lang w:bidi="ar"/>
          <w14:textFill>
            <w14:solidFill>
              <w14:schemeClr w14:val="tx1"/>
            </w14:solidFill>
          </w14:textFill>
        </w:rPr>
      </w:pPr>
      <w:r>
        <w:rPr>
          <w:rFonts w:hint="eastAsia" w:ascii="新宋体" w:hAnsi="新宋体" w:eastAsia="新宋体" w:cs="新宋体"/>
          <w:color w:val="000000" w:themeColor="text1"/>
          <w:szCs w:val="24"/>
          <w:lang w:bidi="ar"/>
          <w14:textFill>
            <w14:solidFill>
              <w14:schemeClr w14:val="tx1"/>
            </w14:solidFill>
          </w14:textFill>
        </w:rPr>
        <w:t>14.2、本合同正本贰份，双方各执壹份；副本捌份，发包人执伍份，承包人执叁份。具有同等法律效力。</w:t>
      </w:r>
    </w:p>
    <w:p w14:paraId="778F5210">
      <w:pPr>
        <w:pageBreakBefore w:val="0"/>
        <w:kinsoku/>
        <w:topLinePunct w:val="0"/>
        <w:bidi w:val="0"/>
        <w:spacing w:line="360" w:lineRule="auto"/>
        <w:rPr>
          <w:rFonts w:hint="default" w:ascii="宋体" w:hAnsi="宋体" w:eastAsia="宋体" w:cs="宋体"/>
          <w:b/>
          <w:color w:val="000000" w:themeColor="text1"/>
          <w:sz w:val="24"/>
          <w:szCs w:val="24"/>
          <w:highlight w:val="none"/>
          <w:u w:val="single"/>
          <w:lang w:val="en-US" w:eastAsia="zh-CN"/>
          <w14:textFill>
            <w14:solidFill>
              <w14:schemeClr w14:val="tx1"/>
            </w14:solidFill>
          </w14:textFill>
        </w:rPr>
      </w:pPr>
      <w:r>
        <w:rPr>
          <w:rFonts w:hint="eastAsia" w:ascii="新宋体" w:hAnsi="新宋体" w:eastAsia="新宋体" w:cs="新宋体"/>
          <w:b/>
          <w:color w:val="000000" w:themeColor="text1"/>
          <w:szCs w:val="24"/>
          <w:lang w:eastAsia="zh-CN" w:bidi="ar"/>
          <w14:textFill>
            <w14:solidFill>
              <w14:schemeClr w14:val="tx1"/>
            </w14:solidFill>
          </w14:textFill>
        </w:rPr>
        <w:t>十五、</w:t>
      </w:r>
      <w:r>
        <w:rPr>
          <w:rFonts w:hint="eastAsia" w:ascii="宋体" w:hAnsi="宋体" w:eastAsia="宋体" w:cs="宋体"/>
          <w:b/>
          <w:color w:val="000000" w:themeColor="text1"/>
          <w:sz w:val="24"/>
          <w:szCs w:val="24"/>
          <w:highlight w:val="none"/>
          <w14:textFill>
            <w14:solidFill>
              <w14:schemeClr w14:val="tx1"/>
            </w14:solidFill>
          </w14:textFill>
        </w:rPr>
        <w:t>补充条款</w:t>
      </w:r>
      <w:r>
        <w:rPr>
          <w:rFonts w:hint="eastAsia" w:ascii="宋体" w:hAnsi="宋体" w:cs="宋体"/>
          <w:b/>
          <w:color w:val="000000" w:themeColor="text1"/>
          <w:sz w:val="24"/>
          <w:szCs w:val="24"/>
          <w:highlight w:val="none"/>
          <w:lang w:eastAsia="zh-CN"/>
          <w14:textFill>
            <w14:solidFill>
              <w14:schemeClr w14:val="tx1"/>
            </w14:solidFill>
          </w14:textFill>
        </w:rPr>
        <w:t>：</w:t>
      </w:r>
      <w:r>
        <w:rPr>
          <w:rFonts w:hint="eastAsia" w:ascii="宋体" w:hAnsi="宋体" w:cs="宋体"/>
          <w:b/>
          <w:color w:val="000000" w:themeColor="text1"/>
          <w:sz w:val="24"/>
          <w:szCs w:val="24"/>
          <w:highlight w:val="none"/>
          <w:u w:val="single"/>
          <w:lang w:val="en-US" w:eastAsia="zh-CN"/>
          <w14:textFill>
            <w14:solidFill>
              <w14:schemeClr w14:val="tx1"/>
            </w14:solidFill>
          </w14:textFill>
        </w:rPr>
        <w:t xml:space="preserve">                                </w:t>
      </w:r>
    </w:p>
    <w:p w14:paraId="1DF35ED3">
      <w:pPr>
        <w:spacing w:line="360" w:lineRule="auto"/>
        <w:rPr>
          <w:rFonts w:ascii="新宋体" w:hAnsi="新宋体" w:eastAsia="新宋体" w:cs="新宋体"/>
          <w:b/>
          <w:color w:val="000000" w:themeColor="text1"/>
          <w:szCs w:val="24"/>
          <w14:textFill>
            <w14:solidFill>
              <w14:schemeClr w14:val="tx1"/>
            </w14:solidFill>
          </w14:textFill>
        </w:rPr>
      </w:pPr>
      <w:r>
        <w:rPr>
          <w:rFonts w:hint="eastAsia" w:ascii="新宋体" w:hAnsi="新宋体" w:eastAsia="新宋体" w:cs="新宋体"/>
          <w:b/>
          <w:color w:val="000000" w:themeColor="text1"/>
          <w:szCs w:val="24"/>
          <w:lang w:bidi="ar"/>
          <w14:textFill>
            <w14:solidFill>
              <w14:schemeClr w14:val="tx1"/>
            </w14:solidFill>
          </w14:textFill>
        </w:rPr>
        <w:t>十</w:t>
      </w:r>
      <w:r>
        <w:rPr>
          <w:rFonts w:hint="eastAsia" w:ascii="新宋体" w:hAnsi="新宋体" w:eastAsia="新宋体" w:cs="新宋体"/>
          <w:b/>
          <w:color w:val="000000" w:themeColor="text1"/>
          <w:szCs w:val="24"/>
          <w:lang w:eastAsia="zh-CN" w:bidi="ar"/>
          <w14:textFill>
            <w14:solidFill>
              <w14:schemeClr w14:val="tx1"/>
            </w14:solidFill>
          </w14:textFill>
        </w:rPr>
        <w:t>六</w:t>
      </w:r>
      <w:r>
        <w:rPr>
          <w:rFonts w:hint="eastAsia" w:ascii="新宋体" w:hAnsi="新宋体" w:eastAsia="新宋体" w:cs="新宋体"/>
          <w:b/>
          <w:color w:val="000000" w:themeColor="text1"/>
          <w:szCs w:val="24"/>
          <w:lang w:bidi="ar"/>
          <w14:textFill>
            <w14:solidFill>
              <w14:schemeClr w14:val="tx1"/>
            </w14:solidFill>
          </w14:textFill>
        </w:rPr>
        <w:t>、其它</w:t>
      </w:r>
    </w:p>
    <w:p w14:paraId="1289C73B">
      <w:pPr>
        <w:spacing w:line="360" w:lineRule="auto"/>
        <w:ind w:firstLine="480"/>
        <w:rPr>
          <w:rFonts w:ascii="新宋体" w:hAnsi="新宋体" w:eastAsia="新宋体" w:cs="新宋体"/>
          <w:color w:val="000000" w:themeColor="text1"/>
          <w:szCs w:val="24"/>
          <w14:textFill>
            <w14:solidFill>
              <w14:schemeClr w14:val="tx1"/>
            </w14:solidFill>
          </w14:textFill>
        </w:rPr>
      </w:pPr>
      <w:r>
        <w:rPr>
          <w:rFonts w:hint="eastAsia" w:ascii="新宋体" w:hAnsi="新宋体" w:eastAsia="新宋体" w:cs="新宋体"/>
          <w:color w:val="000000" w:themeColor="text1"/>
          <w:szCs w:val="24"/>
          <w:lang w:bidi="ar"/>
          <w14:textFill>
            <w14:solidFill>
              <w14:schemeClr w14:val="tx1"/>
            </w14:solidFill>
          </w14:textFill>
        </w:rPr>
        <w:t>本合同未尽事宜，双方另行签订补充协议。补充协议与本合同具有同等法律效力。</w:t>
      </w:r>
    </w:p>
    <w:p w14:paraId="74EAF1D1">
      <w:pPr>
        <w:spacing w:line="360" w:lineRule="auto"/>
        <w:ind w:firstLine="480"/>
        <w:rPr>
          <w:rFonts w:ascii="新宋体" w:hAnsi="新宋体" w:eastAsia="新宋体" w:cs="新宋体"/>
          <w:color w:val="000000" w:themeColor="text1"/>
          <w:szCs w:val="24"/>
          <w14:textFill>
            <w14:solidFill>
              <w14:schemeClr w14:val="tx1"/>
            </w14:solidFill>
          </w14:textFill>
        </w:rPr>
      </w:pPr>
      <w:r>
        <w:rPr>
          <w:rFonts w:hint="eastAsia" w:ascii="新宋体" w:hAnsi="新宋体" w:eastAsia="新宋体" w:cs="新宋体"/>
          <w:color w:val="000000" w:themeColor="text1"/>
          <w:szCs w:val="24"/>
          <w:lang w:bidi="ar"/>
          <w14:textFill>
            <w14:solidFill>
              <w14:schemeClr w14:val="tx1"/>
            </w14:solidFill>
          </w14:textFill>
        </w:rPr>
        <w:t>甲方单位名称：                       乙方单位名称：</w:t>
      </w:r>
    </w:p>
    <w:p w14:paraId="4F6E5816">
      <w:pPr>
        <w:spacing w:line="360" w:lineRule="auto"/>
        <w:ind w:firstLine="720" w:firstLineChars="300"/>
        <w:rPr>
          <w:rFonts w:ascii="新宋体" w:hAnsi="新宋体" w:eastAsia="新宋体" w:cs="新宋体"/>
          <w:color w:val="000000" w:themeColor="text1"/>
          <w:szCs w:val="24"/>
          <w14:textFill>
            <w14:solidFill>
              <w14:schemeClr w14:val="tx1"/>
            </w14:solidFill>
          </w14:textFill>
        </w:rPr>
      </w:pPr>
      <w:r>
        <w:rPr>
          <w:rFonts w:hint="eastAsia" w:ascii="新宋体" w:hAnsi="新宋体" w:eastAsia="新宋体" w:cs="新宋体"/>
          <w:color w:val="000000" w:themeColor="text1"/>
          <w:szCs w:val="24"/>
          <w:lang w:bidi="ar"/>
          <w14:textFill>
            <w14:solidFill>
              <w14:schemeClr w14:val="tx1"/>
            </w14:solidFill>
          </w14:textFill>
        </w:rPr>
        <w:t>（盖章）                             （盖章）</w:t>
      </w:r>
    </w:p>
    <w:p w14:paraId="353E36E1">
      <w:pPr>
        <w:spacing w:line="360" w:lineRule="auto"/>
        <w:ind w:firstLine="480" w:firstLineChars="200"/>
        <w:rPr>
          <w:rFonts w:ascii="新宋体" w:hAnsi="新宋体" w:eastAsia="新宋体" w:cs="新宋体"/>
          <w:color w:val="000000" w:themeColor="text1"/>
          <w:szCs w:val="24"/>
          <w14:textFill>
            <w14:solidFill>
              <w14:schemeClr w14:val="tx1"/>
            </w14:solidFill>
          </w14:textFill>
        </w:rPr>
      </w:pPr>
      <w:r>
        <w:rPr>
          <w:rFonts w:hint="eastAsia" w:ascii="新宋体" w:hAnsi="新宋体" w:eastAsia="新宋体" w:cs="新宋体"/>
          <w:color w:val="000000" w:themeColor="text1"/>
          <w:szCs w:val="24"/>
          <w:lang w:bidi="ar"/>
          <w14:textFill>
            <w14:solidFill>
              <w14:schemeClr w14:val="tx1"/>
            </w14:solidFill>
          </w14:textFill>
        </w:rPr>
        <w:t>法定代表人</w:t>
      </w:r>
      <w:r>
        <w:rPr>
          <w:rFonts w:hint="eastAsia" w:ascii="新宋体" w:hAnsi="新宋体" w:eastAsia="新宋体" w:cs="新宋体"/>
          <w:color w:val="000000" w:themeColor="text1"/>
          <w:szCs w:val="24"/>
          <w:lang w:val="en-US" w:eastAsia="zh-CN" w:bidi="ar"/>
          <w14:textFill>
            <w14:solidFill>
              <w14:schemeClr w14:val="tx1"/>
            </w14:solidFill>
          </w14:textFill>
        </w:rPr>
        <w:t>或被授权代表</w:t>
      </w:r>
      <w:r>
        <w:rPr>
          <w:rFonts w:hint="eastAsia" w:ascii="新宋体" w:hAnsi="新宋体" w:eastAsia="新宋体" w:cs="新宋体"/>
          <w:color w:val="000000" w:themeColor="text1"/>
          <w:szCs w:val="24"/>
          <w:lang w:bidi="ar"/>
          <w14:textFill>
            <w14:solidFill>
              <w14:schemeClr w14:val="tx1"/>
            </w14:solidFill>
          </w14:textFill>
        </w:rPr>
        <w:t>：             法定代表人</w:t>
      </w:r>
      <w:r>
        <w:rPr>
          <w:rFonts w:hint="eastAsia" w:ascii="新宋体" w:hAnsi="新宋体" w:eastAsia="新宋体" w:cs="新宋体"/>
          <w:color w:val="000000" w:themeColor="text1"/>
          <w:szCs w:val="24"/>
          <w:lang w:val="en-US" w:eastAsia="zh-CN" w:bidi="ar"/>
          <w14:textFill>
            <w14:solidFill>
              <w14:schemeClr w14:val="tx1"/>
            </w14:solidFill>
          </w14:textFill>
        </w:rPr>
        <w:t>或被授权代表</w:t>
      </w:r>
      <w:r>
        <w:rPr>
          <w:rFonts w:hint="eastAsia" w:ascii="新宋体" w:hAnsi="新宋体" w:eastAsia="新宋体" w:cs="新宋体"/>
          <w:color w:val="000000" w:themeColor="text1"/>
          <w:szCs w:val="24"/>
          <w:lang w:bidi="ar"/>
          <w14:textFill>
            <w14:solidFill>
              <w14:schemeClr w14:val="tx1"/>
            </w14:solidFill>
          </w14:textFill>
        </w:rPr>
        <w:t xml:space="preserve">：  </w:t>
      </w:r>
    </w:p>
    <w:p w14:paraId="122BF288">
      <w:pPr>
        <w:spacing w:line="360" w:lineRule="auto"/>
        <w:ind w:firstLine="480" w:firstLineChars="200"/>
        <w:rPr>
          <w:rFonts w:hint="eastAsia"/>
          <w:color w:val="000000" w:themeColor="text1"/>
          <w:lang w:eastAsia="zh-CN"/>
          <w14:textFill>
            <w14:solidFill>
              <w14:schemeClr w14:val="tx1"/>
            </w14:solidFill>
          </w14:textFill>
        </w:rPr>
      </w:pPr>
      <w:r>
        <w:rPr>
          <w:rFonts w:hint="eastAsia" w:ascii="新宋体" w:hAnsi="新宋体" w:eastAsia="新宋体" w:cs="新宋体"/>
          <w:color w:val="000000" w:themeColor="text1"/>
          <w:szCs w:val="24"/>
          <w:lang w:bidi="ar"/>
          <w14:textFill>
            <w14:solidFill>
              <w14:schemeClr w14:val="tx1"/>
            </w14:solidFill>
          </w14:textFill>
        </w:rPr>
        <w:t xml:space="preserve"> 年     月    日                       年     月    日</w:t>
      </w:r>
      <w:r>
        <w:rPr>
          <w:rFonts w:ascii="Calibri" w:hAnsi="Calibri"/>
          <w:b/>
          <w:color w:val="000000" w:themeColor="text1"/>
          <w:szCs w:val="24"/>
          <w:lang w:bidi="ar"/>
          <w14:textFill>
            <w14:solidFill>
              <w14:schemeClr w14:val="tx1"/>
            </w14:solidFill>
          </w14:textFill>
        </w:rPr>
        <w:t xml:space="preserve"> </w:t>
      </w:r>
      <w:bookmarkStart w:id="1" w:name="_Toc458617744"/>
      <w:bookmarkStart w:id="2" w:name="_Toc458617467"/>
      <w:bookmarkStart w:id="3" w:name="_Toc27831"/>
    </w:p>
    <w:bookmarkEnd w:id="1"/>
    <w:bookmarkEnd w:id="2"/>
    <w:bookmarkEnd w:id="3"/>
    <w:p w14:paraId="4CBB77B2"/>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新宋体">
    <w:panose1 w:val="02010609030101010101"/>
    <w:charset w:val="86"/>
    <w:family w:val="modern"/>
    <w:pitch w:val="default"/>
    <w:sig w:usb0="00000203" w:usb1="288F0000" w:usb2="0000000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D171802"/>
    <w:rsid w:val="27464AD0"/>
    <w:rsid w:val="2D171802"/>
    <w:rsid w:val="32D21971"/>
    <w:rsid w:val="7F3D1C8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4"/>
      <w:lang w:val="en-US" w:eastAsia="zh-CN" w:bidi="ar-SA"/>
    </w:rPr>
  </w:style>
  <w:style w:type="paragraph" w:styleId="2">
    <w:name w:val="heading 1"/>
    <w:basedOn w:val="1"/>
    <w:next w:val="1"/>
    <w:qFormat/>
    <w:uiPriority w:val="0"/>
    <w:pPr>
      <w:keepNext/>
      <w:keepLines/>
      <w:spacing w:before="340" w:after="330" w:line="560" w:lineRule="exact"/>
      <w:jc w:val="center"/>
      <w:outlineLvl w:val="0"/>
    </w:pPr>
    <w:rPr>
      <w:b/>
      <w:bCs/>
      <w:kern w:val="44"/>
      <w:sz w:val="36"/>
      <w:szCs w:val="44"/>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footer"/>
    <w:basedOn w:val="1"/>
    <w:qFormat/>
    <w:uiPriority w:val="0"/>
    <w:pPr>
      <w:tabs>
        <w:tab w:val="center" w:pos="4153"/>
        <w:tab w:val="right" w:pos="8306"/>
      </w:tabs>
      <w:snapToGrid w:val="0"/>
      <w:jc w:val="left"/>
    </w:pPr>
    <w:rPr>
      <w:sz w:val="18"/>
      <w:szCs w:val="18"/>
    </w:rPr>
  </w:style>
  <w:style w:type="character" w:styleId="6">
    <w:name w:val="Strong"/>
    <w:basedOn w:val="5"/>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2676</Words>
  <Characters>2797</Characters>
  <Lines>0</Lines>
  <Paragraphs>0</Paragraphs>
  <TotalTime>61</TotalTime>
  <ScaleCrop>false</ScaleCrop>
  <LinksUpToDate>false</LinksUpToDate>
  <CharactersWithSpaces>3113</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2025-06-13T10:35:00Z</dcterms:created>
  <dc:creator>WPS_1481262899</dc:creator>
  <cp:lastModifiedBy>WPS_1481262899</cp:lastModifiedBy>
  <dcterms:modified xsi:type="dcterms:W3CDTF">2025-06-13T12:05:47Z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31B868BF439D459A8E21D3792146176B_13</vt:lpwstr>
  </property>
  <property fmtid="{D5CDD505-2E9C-101B-9397-08002B2CF9AE}" pid="4" name="KSOTemplateDocerSaveRecord">
    <vt:lpwstr>eyJoZGlkIjoiNWExODBkYTBmMGIyM2I5MDk3OTc3OTgzZDViNjJkZWIiLCJ1c2VySWQiOiIyNTU3MTg0MDEifQ==</vt:lpwstr>
  </property>
</Properties>
</file>