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版本号：ZHZB-2025（GC）02620250613001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宫里镇老街基础设施建设项目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ZHZB-2025（GC）026</w:t>
      </w:r>
      <w:r>
        <w:br/>
      </w:r>
      <w:r>
        <w:br/>
      </w:r>
      <w:r>
        <w:br/>
      </w:r>
    </w:p>
    <w:p>
      <w:pPr>
        <w:pStyle w:val="null3"/>
        <w:jc w:val="center"/>
        <w:outlineLvl w:val="2"/>
      </w:pPr>
      <w:r>
        <w:rPr>
          <w:rFonts w:ascii="仿宋_GB2312" w:hAnsi="仿宋_GB2312" w:cs="仿宋_GB2312" w:eastAsia="仿宋_GB2312"/>
          <w:sz w:val="28"/>
          <w:b/>
        </w:rPr>
        <w:t>富平县宫里镇人民政府（本级）</w:t>
      </w:r>
    </w:p>
    <w:p>
      <w:pPr>
        <w:pStyle w:val="null3"/>
        <w:jc w:val="center"/>
        <w:outlineLvl w:val="2"/>
      </w:pPr>
      <w:r>
        <w:rPr>
          <w:rFonts w:ascii="仿宋_GB2312" w:hAnsi="仿宋_GB2312" w:cs="仿宋_GB2312" w:eastAsia="仿宋_GB2312"/>
          <w:sz w:val="28"/>
          <w:b/>
        </w:rPr>
        <w:t>陕西致恒招标代理有限公司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陕西致恒招标代理有限公司</w:t>
      </w:r>
      <w:r>
        <w:rPr>
          <w:rFonts w:ascii="仿宋_GB2312" w:hAnsi="仿宋_GB2312" w:cs="仿宋_GB2312" w:eastAsia="仿宋_GB2312"/>
        </w:rPr>
        <w:t>（以下简称“代理机构”）受</w:t>
      </w:r>
      <w:r>
        <w:rPr>
          <w:rFonts w:ascii="仿宋_GB2312" w:hAnsi="仿宋_GB2312" w:cs="仿宋_GB2312" w:eastAsia="仿宋_GB2312"/>
        </w:rPr>
        <w:t>富平县宫里镇人民政府（本级）</w:t>
      </w:r>
      <w:r>
        <w:rPr>
          <w:rFonts w:ascii="仿宋_GB2312" w:hAnsi="仿宋_GB2312" w:cs="仿宋_GB2312" w:eastAsia="仿宋_GB2312"/>
        </w:rPr>
        <w:t>委托，拟对</w:t>
      </w:r>
      <w:r>
        <w:rPr>
          <w:rFonts w:ascii="仿宋_GB2312" w:hAnsi="仿宋_GB2312" w:cs="仿宋_GB2312" w:eastAsia="仿宋_GB2312"/>
        </w:rPr>
        <w:t>宫里镇老街基础设施建设项目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ZHZB-2025（GC）026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宫里镇老街基础设施建设项目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为道路改造及管网改造工程；主要功能或目标:改善宫里镇基础设施条件，给群众提供更加舒适的生产生活环境；需满足的要求:严格按照国家颁发的施工技术验收规范进行施工，质量应达到国家质量检验评定的合格标准。符合国家、省、市及采购人相关规范、标准和规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采购包1（宫里镇老街基础设施建设项目）：属于专门面向中小企业采购。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能力：合法注册的法人应提供营业执照（或事业法人证）、组织机构代码证、税务登记证或统一社会信用代码的营业执照或其他组织应提供合法证明文件或自然人提供身份证件；并进行电子签章。</w:t>
      </w:r>
    </w:p>
    <w:p>
      <w:pPr>
        <w:pStyle w:val="null3"/>
      </w:pPr>
      <w:r>
        <w:rPr>
          <w:rFonts w:ascii="仿宋_GB2312" w:hAnsi="仿宋_GB2312" w:cs="仿宋_GB2312" w:eastAsia="仿宋_GB2312"/>
        </w:rPr>
        <w:t>2、拟派项目负责人资质和专业要求：证书等级：贰级及以上 专业：市政公用工程 补充说明：拟派项目经理须提供市政公用工程专业贰级（含贰级）以上注册建造师证书及安全生产考核合格证（B证），且无在建工程（提供相关平台官网截图或无在建承诺）；并进行电子签章。</w:t>
      </w:r>
    </w:p>
    <w:p>
      <w:pPr>
        <w:pStyle w:val="null3"/>
      </w:pPr>
      <w:r>
        <w:rPr>
          <w:rFonts w:ascii="仿宋_GB2312" w:hAnsi="仿宋_GB2312" w:cs="仿宋_GB2312" w:eastAsia="仿宋_GB2312"/>
        </w:rPr>
        <w:t>3、良好的商业信誉和健全的财务会计制度：2023年度或2024年度经审计的财务报告或在2025年1月1日至今其基本开户银行出具的资信证明或财政部门认可的政府采购专业担保机构出具的投标担保函（以上三种形式的资料提供任何一种即可）；并进行电子签章。 注：1.提供资信证明的供应商，需同时提供基本开户银行的证明材料；2.事业单位可不提供本项证明材料。</w:t>
      </w:r>
    </w:p>
    <w:p>
      <w:pPr>
        <w:pStyle w:val="null3"/>
      </w:pPr>
      <w:r>
        <w:rPr>
          <w:rFonts w:ascii="仿宋_GB2312" w:hAnsi="仿宋_GB2312" w:cs="仿宋_GB2312" w:eastAsia="仿宋_GB2312"/>
        </w:rPr>
        <w:t>4、有依法缴纳税收和社会保障资金的良好记录：提供2025年1月1日任意时段的缴纳证明，依法免税的单位应提供相关证明材料；并进行电子签章。事业单位参与投标时，可不提供本项证明材料。</w:t>
      </w:r>
    </w:p>
    <w:p>
      <w:pPr>
        <w:pStyle w:val="null3"/>
      </w:pPr>
      <w:r>
        <w:rPr>
          <w:rFonts w:ascii="仿宋_GB2312" w:hAnsi="仿宋_GB2312" w:cs="仿宋_GB2312" w:eastAsia="仿宋_GB2312"/>
        </w:rPr>
        <w:t>5、书面声明：（1）参加本次政府采购活动前三年内，在经营活动中没有重大违法记录的书面声明；（2）提供具有履行本合同所必需的设备和专业技术能力的声明；应提供书面声明并进行电子签章。</w:t>
      </w:r>
    </w:p>
    <w:p>
      <w:pPr>
        <w:pStyle w:val="null3"/>
      </w:pPr>
      <w:r>
        <w:rPr>
          <w:rFonts w:ascii="仿宋_GB2312" w:hAnsi="仿宋_GB2312" w:cs="仿宋_GB2312" w:eastAsia="仿宋_GB2312"/>
        </w:rPr>
        <w:t>6、法律、行政法规规定的其他条件：（1）供应商须具有市政公用工程施工总承包三级或以上（含三级）资质，且具有合格有效的安全生产许可证；（2）项目经理：拟派项目经理须提供市政公用工程专业贰级（含贰级）以上注册建造师证书及安全生产考核合格证（B证），且无在建工程（提供相关平台官网截图或无在建承诺）；（3）法定代表人授权委托书：法定代表人直接参加投标的，须提供法定代表人身份证明(法人身份证原件备查）；法定代表人授权代表参加投标的，须提供法定代表人授权委托书(授权代表身份证原件备查）；并进行电子签章。</w:t>
      </w:r>
    </w:p>
    <w:p>
      <w:pPr>
        <w:pStyle w:val="null3"/>
      </w:pPr>
      <w:r>
        <w:rPr>
          <w:rFonts w:ascii="仿宋_GB2312" w:hAnsi="仿宋_GB2312" w:cs="仿宋_GB2312" w:eastAsia="仿宋_GB2312"/>
        </w:rPr>
        <w:t>7、供应商企业关系关联及联合体说明：本项目不接受联合体磋商，单位负责人为同一人或者存在直接控股、管理关系的不同供应商，不得参加同一合同项下的政府采购活动。应提供书面声明并进行电子签章。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富平县宫里镇人民政府（本级）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富平县宫里镇街道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0913-8791001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陕西致恒招标代理有限公司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西安市未央区北二环大明宫立交桥百寰国际2705室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屈彤 魏露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13289892509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开户名称：陕西致恒招标代理有限公司</w:t>
            </w:r>
          </w:p>
          <w:p>
            <w:pPr>
              <w:pStyle w:val="null3"/>
            </w:pPr>
            <w:r>
              <w:rPr>
                <w:rFonts w:ascii="仿宋_GB2312" w:hAnsi="仿宋_GB2312" w:cs="仿宋_GB2312" w:eastAsia="仿宋_GB2312"/>
              </w:rPr>
              <w:t>开户银行：中国建设银行股份有限公司西安太华北路支行</w:t>
            </w:r>
          </w:p>
          <w:p>
            <w:pPr>
              <w:pStyle w:val="null3"/>
            </w:pPr>
            <w:r>
              <w:rPr>
                <w:rFonts w:ascii="仿宋_GB2312" w:hAnsi="仿宋_GB2312" w:cs="仿宋_GB2312" w:eastAsia="仿宋_GB2312"/>
              </w:rPr>
              <w:t>银行账号：61050110629600000259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lt;招标代理服务收费管理暂行办法&gt;的通知》(计价格〔2002〕1980号)、《国家发展改革委员会办公厅关于招标代理服务收费有关问题的通知》（发改办价格〔2003〕857号）以及《国家发展改革委关于降低部分建设项目收费标准规范收费行为等有关问题的通知》(发改价格〔2011〕534号)，以工程收费标准向陕西致恒招标代理有限公司交纳招标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富平县宫里镇人民政府（本级）</w:t>
      </w:r>
      <w:r>
        <w:rPr>
          <w:rFonts w:ascii="仿宋_GB2312" w:hAnsi="仿宋_GB2312" w:cs="仿宋_GB2312" w:eastAsia="仿宋_GB2312"/>
        </w:rPr>
        <w:t>和</w:t>
      </w:r>
      <w:r>
        <w:rPr>
          <w:rFonts w:ascii="仿宋_GB2312" w:hAnsi="仿宋_GB2312" w:cs="仿宋_GB2312" w:eastAsia="仿宋_GB2312"/>
        </w:rPr>
        <w:t>陕西致恒招标代理有限公司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富平县宫里镇人民政府（本级）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陕西致恒招标代理有限公司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富平县宫里镇人民政府（本级）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陕西致恒招标代理有限公司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详见竞争性磋商文件、合同内容</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联系人：屈彤 魏露</w:t>
      </w:r>
    </w:p>
    <w:p>
      <w:pPr>
        <w:pStyle w:val="null3"/>
      </w:pPr>
      <w:r>
        <w:rPr>
          <w:rFonts w:ascii="仿宋_GB2312" w:hAnsi="仿宋_GB2312" w:cs="仿宋_GB2312" w:eastAsia="仿宋_GB2312"/>
        </w:rPr>
        <w:t>联系电话：13289892509</w:t>
      </w:r>
    </w:p>
    <w:p>
      <w:pPr>
        <w:pStyle w:val="null3"/>
      </w:pPr>
      <w:r>
        <w:rPr>
          <w:rFonts w:ascii="仿宋_GB2312" w:hAnsi="仿宋_GB2312" w:cs="仿宋_GB2312" w:eastAsia="仿宋_GB2312"/>
        </w:rPr>
        <w:t>地址：西安市未央区北二环大明宫立交桥百寰国际2705室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894,700.00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宫里镇老街基础设施建设项目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标的名称：宫里镇老街基础设施建设项目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723"/>
              <w:jc w:val="both"/>
            </w:pPr>
            <w:r>
              <w:rPr>
                <w:rFonts w:ascii="仿宋_GB2312" w:hAnsi="仿宋_GB2312" w:cs="仿宋_GB2312" w:eastAsia="仿宋_GB2312"/>
                <w:sz w:val="24"/>
                <w:b/>
                <w:color w:val="000000"/>
              </w:rPr>
              <w:t>一、工程概况</w:t>
            </w:r>
          </w:p>
          <w:p>
            <w:pPr>
              <w:pStyle w:val="null3"/>
              <w:ind w:firstLine="72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、主要为道路改造及管网改造工程；</w:t>
            </w:r>
          </w:p>
          <w:p>
            <w:pPr>
              <w:pStyle w:val="null3"/>
              <w:ind w:firstLine="72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、主要功能或目标</w:t>
            </w:r>
            <w:r>
              <w:rPr>
                <w:rFonts w:ascii="仿宋_GB2312" w:hAnsi="仿宋_GB2312" w:cs="仿宋_GB2312" w:eastAsia="仿宋_GB2312"/>
                <w:sz w:val="24"/>
                <w:color w:val="000000"/>
              </w:rPr>
              <w:t>:</w:t>
            </w:r>
            <w:r>
              <w:rPr>
                <w:rFonts w:ascii="仿宋_GB2312" w:hAnsi="仿宋_GB2312" w:cs="仿宋_GB2312" w:eastAsia="仿宋_GB2312"/>
                <w:sz w:val="24"/>
                <w:color w:val="000000"/>
              </w:rPr>
              <w:t>改善宫里镇基础设施条件，给群众提供更加舒适的生产生活环境；</w:t>
            </w:r>
          </w:p>
          <w:p>
            <w:pPr>
              <w:pStyle w:val="null3"/>
              <w:ind w:firstLine="72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、需满足的要求</w:t>
            </w:r>
            <w:r>
              <w:rPr>
                <w:rFonts w:ascii="仿宋_GB2312" w:hAnsi="仿宋_GB2312" w:cs="仿宋_GB2312" w:eastAsia="仿宋_GB2312"/>
                <w:sz w:val="24"/>
                <w:color w:val="000000"/>
              </w:rPr>
              <w:t>:</w:t>
            </w:r>
            <w:r>
              <w:rPr>
                <w:rFonts w:ascii="仿宋_GB2312" w:hAnsi="仿宋_GB2312" w:cs="仿宋_GB2312" w:eastAsia="仿宋_GB2312"/>
                <w:sz w:val="24"/>
                <w:color w:val="000000"/>
              </w:rPr>
              <w:t>严格按照国家颁发的施工技术验收规范进行施工，质量应达到国家质量检验评定的合格标准。符合国家、省、市及采购人相关规范、标准和规定。</w:t>
            </w:r>
          </w:p>
          <w:p>
            <w:pPr>
              <w:pStyle w:val="null3"/>
              <w:ind w:firstLine="723"/>
              <w:jc w:val="both"/>
            </w:pPr>
            <w:r>
              <w:rPr>
                <w:rFonts w:ascii="仿宋_GB2312" w:hAnsi="仿宋_GB2312" w:cs="仿宋_GB2312" w:eastAsia="仿宋_GB2312"/>
                <w:sz w:val="24"/>
                <w:b/>
                <w:color w:val="000000"/>
              </w:rPr>
              <w:t>二、工程内容</w:t>
            </w:r>
          </w:p>
          <w:p>
            <w:pPr>
              <w:pStyle w:val="null3"/>
              <w:ind w:firstLine="723"/>
              <w:jc w:val="center"/>
            </w:pPr>
            <w:r>
              <w:rPr>
                <w:rFonts w:ascii="仿宋_GB2312" w:hAnsi="仿宋_GB2312" w:cs="仿宋_GB2312" w:eastAsia="仿宋_GB2312"/>
                <w:sz w:val="24"/>
                <w:b/>
                <w:color w:val="000000"/>
              </w:rPr>
              <w:t>（一）工程量清单编制说明</w:t>
            </w:r>
          </w:p>
          <w:p>
            <w:pPr>
              <w:pStyle w:val="null3"/>
              <w:ind w:firstLine="72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、工程概况：</w:t>
            </w:r>
          </w:p>
          <w:p>
            <w:pPr>
              <w:pStyle w:val="null3"/>
              <w:ind w:firstLine="7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）、项目名称：宫里镇老街基础设施建设项目</w:t>
            </w:r>
          </w:p>
          <w:p>
            <w:pPr>
              <w:pStyle w:val="null3"/>
              <w:ind w:firstLine="7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）、项目地址：陕西省渭南市富平县宫里镇</w:t>
            </w:r>
          </w:p>
          <w:p>
            <w:pPr>
              <w:pStyle w:val="null3"/>
              <w:ind w:firstLine="7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）、项目概况：主要为道路改造及管网改造工程</w:t>
            </w:r>
          </w:p>
          <w:p>
            <w:pPr>
              <w:pStyle w:val="null3"/>
              <w:ind w:firstLine="72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、编制依据：</w:t>
            </w:r>
          </w:p>
          <w:p>
            <w:pPr>
              <w:pStyle w:val="null3"/>
              <w:ind w:firstLine="7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）、《陕西省建设工程工程量清单计价规则》（</w:t>
            </w:r>
            <w:r>
              <w:rPr>
                <w:rFonts w:ascii="仿宋_GB2312" w:hAnsi="仿宋_GB2312" w:cs="仿宋_GB2312" w:eastAsia="仿宋_GB2312"/>
                <w:sz w:val="24"/>
                <w:color w:val="000000"/>
              </w:rPr>
              <w:t>2009</w:t>
            </w:r>
            <w:r>
              <w:rPr>
                <w:rFonts w:ascii="仿宋_GB2312" w:hAnsi="仿宋_GB2312" w:cs="仿宋_GB2312" w:eastAsia="仿宋_GB2312"/>
                <w:sz w:val="24"/>
                <w:color w:val="000000"/>
              </w:rPr>
              <w:t>）；</w:t>
            </w:r>
          </w:p>
          <w:p>
            <w:pPr>
              <w:pStyle w:val="null3"/>
              <w:ind w:firstLine="7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）、《陕西省建筑工程、安装工程、装饰工程、市政工程、园林绿化工程消耗量定额》（</w:t>
            </w:r>
            <w:r>
              <w:rPr>
                <w:rFonts w:ascii="仿宋_GB2312" w:hAnsi="仿宋_GB2312" w:cs="仿宋_GB2312" w:eastAsia="仿宋_GB2312"/>
                <w:sz w:val="24"/>
                <w:color w:val="000000"/>
              </w:rPr>
              <w:t>2004</w:t>
            </w:r>
            <w:r>
              <w:rPr>
                <w:rFonts w:ascii="仿宋_GB2312" w:hAnsi="仿宋_GB2312" w:cs="仿宋_GB2312" w:eastAsia="仿宋_GB2312"/>
                <w:sz w:val="24"/>
                <w:color w:val="000000"/>
              </w:rPr>
              <w:t>）、（陕西省价目表</w:t>
            </w:r>
            <w:r>
              <w:rPr>
                <w:rFonts w:ascii="仿宋_GB2312" w:hAnsi="仿宋_GB2312" w:cs="仿宋_GB2312" w:eastAsia="仿宋_GB2312"/>
                <w:sz w:val="24"/>
                <w:color w:val="000000"/>
              </w:rPr>
              <w:t>2009</w:t>
            </w:r>
            <w:r>
              <w:rPr>
                <w:rFonts w:ascii="仿宋_GB2312" w:hAnsi="仿宋_GB2312" w:cs="仿宋_GB2312" w:eastAsia="仿宋_GB2312"/>
                <w:sz w:val="24"/>
                <w:color w:val="000000"/>
              </w:rPr>
              <w:t>）、《陕西省建设工程工程量清单计价费率》及其配套计价文件；</w:t>
            </w:r>
          </w:p>
          <w:p>
            <w:pPr>
              <w:pStyle w:val="null3"/>
              <w:ind w:firstLine="7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）、施工设计图、招标文件及答疑纪要；</w:t>
            </w:r>
          </w:p>
          <w:p>
            <w:pPr>
              <w:pStyle w:val="null3"/>
              <w:ind w:firstLine="7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）、与建设工程项目有关的标准、规范、技术资料；</w:t>
            </w:r>
          </w:p>
          <w:p>
            <w:pPr>
              <w:pStyle w:val="null3"/>
              <w:ind w:firstLine="7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）、现场情况及常规的施工组织及方案；</w:t>
            </w:r>
          </w:p>
          <w:p>
            <w:pPr>
              <w:pStyle w:val="null3"/>
              <w:ind w:firstLine="7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）、本工程计价程序执行陕建发【</w:t>
            </w:r>
            <w:r>
              <w:rPr>
                <w:rFonts w:ascii="仿宋_GB2312" w:hAnsi="仿宋_GB2312" w:cs="仿宋_GB2312" w:eastAsia="仿宋_GB2312"/>
                <w:sz w:val="24"/>
                <w:color w:val="000000"/>
              </w:rPr>
              <w:t>2019</w:t>
            </w:r>
            <w:r>
              <w:rPr>
                <w:rFonts w:ascii="仿宋_GB2312" w:hAnsi="仿宋_GB2312" w:cs="仿宋_GB2312" w:eastAsia="仿宋_GB2312"/>
                <w:sz w:val="24"/>
                <w:color w:val="000000"/>
              </w:rPr>
              <w:t>】</w:t>
            </w:r>
            <w:r>
              <w:rPr>
                <w:rFonts w:ascii="仿宋_GB2312" w:hAnsi="仿宋_GB2312" w:cs="仿宋_GB2312" w:eastAsia="仿宋_GB2312"/>
                <w:sz w:val="24"/>
                <w:color w:val="000000"/>
              </w:rPr>
              <w:t>45</w:t>
            </w:r>
            <w:r>
              <w:rPr>
                <w:rFonts w:ascii="仿宋_GB2312" w:hAnsi="仿宋_GB2312" w:cs="仿宋_GB2312" w:eastAsia="仿宋_GB2312"/>
                <w:sz w:val="24"/>
                <w:color w:val="000000"/>
              </w:rPr>
              <w:t>号文件、扬尘治理专项措施费执行陕建发【</w:t>
            </w:r>
            <w:r>
              <w:rPr>
                <w:rFonts w:ascii="仿宋_GB2312" w:hAnsi="仿宋_GB2312" w:cs="仿宋_GB2312" w:eastAsia="仿宋_GB2312"/>
                <w:sz w:val="24"/>
                <w:color w:val="000000"/>
              </w:rPr>
              <w:t>2017</w:t>
            </w:r>
            <w:r>
              <w:rPr>
                <w:rFonts w:ascii="仿宋_GB2312" w:hAnsi="仿宋_GB2312" w:cs="仿宋_GB2312" w:eastAsia="仿宋_GB2312"/>
                <w:sz w:val="24"/>
                <w:color w:val="000000"/>
              </w:rPr>
              <w:t>】</w:t>
            </w:r>
            <w:r>
              <w:rPr>
                <w:rFonts w:ascii="仿宋_GB2312" w:hAnsi="仿宋_GB2312" w:cs="仿宋_GB2312" w:eastAsia="仿宋_GB2312"/>
                <w:sz w:val="24"/>
                <w:color w:val="000000"/>
              </w:rPr>
              <w:t>270</w:t>
            </w:r>
            <w:r>
              <w:rPr>
                <w:rFonts w:ascii="仿宋_GB2312" w:hAnsi="仿宋_GB2312" w:cs="仿宋_GB2312" w:eastAsia="仿宋_GB2312"/>
                <w:sz w:val="24"/>
                <w:color w:val="000000"/>
              </w:rPr>
              <w:t>号文件、建筑工人实名制管理费执行陕建发【</w:t>
            </w:r>
            <w:r>
              <w:rPr>
                <w:rFonts w:ascii="仿宋_GB2312" w:hAnsi="仿宋_GB2312" w:cs="仿宋_GB2312" w:eastAsia="仿宋_GB2312"/>
                <w:sz w:val="24"/>
                <w:color w:val="000000"/>
              </w:rPr>
              <w:t>2019</w:t>
            </w:r>
            <w:r>
              <w:rPr>
                <w:rFonts w:ascii="仿宋_GB2312" w:hAnsi="仿宋_GB2312" w:cs="仿宋_GB2312" w:eastAsia="仿宋_GB2312"/>
                <w:sz w:val="24"/>
                <w:color w:val="000000"/>
              </w:rPr>
              <w:t>】</w:t>
            </w:r>
            <w:r>
              <w:rPr>
                <w:rFonts w:ascii="仿宋_GB2312" w:hAnsi="仿宋_GB2312" w:cs="仿宋_GB2312" w:eastAsia="仿宋_GB2312"/>
                <w:sz w:val="24"/>
                <w:color w:val="000000"/>
              </w:rPr>
              <w:t>1246</w:t>
            </w:r>
            <w:r>
              <w:rPr>
                <w:rFonts w:ascii="仿宋_GB2312" w:hAnsi="仿宋_GB2312" w:cs="仿宋_GB2312" w:eastAsia="仿宋_GB2312"/>
                <w:sz w:val="24"/>
                <w:color w:val="000000"/>
              </w:rPr>
              <w:t>号文件、建筑施工安全生产责任保险费用执行陕建发【</w:t>
            </w:r>
            <w:r>
              <w:rPr>
                <w:rFonts w:ascii="仿宋_GB2312" w:hAnsi="仿宋_GB2312" w:cs="仿宋_GB2312" w:eastAsia="仿宋_GB2312"/>
                <w:sz w:val="24"/>
                <w:color w:val="000000"/>
              </w:rPr>
              <w:t>2020</w:t>
            </w:r>
            <w:r>
              <w:rPr>
                <w:rFonts w:ascii="仿宋_GB2312" w:hAnsi="仿宋_GB2312" w:cs="仿宋_GB2312" w:eastAsia="仿宋_GB2312"/>
                <w:sz w:val="24"/>
                <w:color w:val="000000"/>
              </w:rPr>
              <w:t>】</w:t>
            </w:r>
            <w:r>
              <w:rPr>
                <w:rFonts w:ascii="仿宋_GB2312" w:hAnsi="仿宋_GB2312" w:cs="仿宋_GB2312" w:eastAsia="仿宋_GB2312"/>
                <w:sz w:val="24"/>
                <w:color w:val="000000"/>
              </w:rPr>
              <w:t>1097</w:t>
            </w:r>
            <w:r>
              <w:rPr>
                <w:rFonts w:ascii="仿宋_GB2312" w:hAnsi="仿宋_GB2312" w:cs="仿宋_GB2312" w:eastAsia="仿宋_GB2312"/>
                <w:sz w:val="24"/>
                <w:color w:val="000000"/>
              </w:rPr>
              <w:t>号文件、养老保险执行陕建发【</w:t>
            </w:r>
            <w:r>
              <w:rPr>
                <w:rFonts w:ascii="仿宋_GB2312" w:hAnsi="仿宋_GB2312" w:cs="仿宋_GB2312" w:eastAsia="仿宋_GB2312"/>
                <w:sz w:val="24"/>
                <w:color w:val="000000"/>
              </w:rPr>
              <w:t>2021</w:t>
            </w:r>
            <w:r>
              <w:rPr>
                <w:rFonts w:ascii="仿宋_GB2312" w:hAnsi="仿宋_GB2312" w:cs="仿宋_GB2312" w:eastAsia="仿宋_GB2312"/>
                <w:sz w:val="24"/>
                <w:color w:val="000000"/>
              </w:rPr>
              <w:t>】</w:t>
            </w:r>
            <w:r>
              <w:rPr>
                <w:rFonts w:ascii="仿宋_GB2312" w:hAnsi="仿宋_GB2312" w:cs="仿宋_GB2312" w:eastAsia="仿宋_GB2312"/>
                <w:sz w:val="24"/>
                <w:color w:val="000000"/>
              </w:rPr>
              <w:t>1021</w:t>
            </w:r>
            <w:r>
              <w:rPr>
                <w:rFonts w:ascii="仿宋_GB2312" w:hAnsi="仿宋_GB2312" w:cs="仿宋_GB2312" w:eastAsia="仿宋_GB2312"/>
                <w:sz w:val="24"/>
                <w:color w:val="000000"/>
              </w:rPr>
              <w:t>号文件，人工费按陕建发【</w:t>
            </w:r>
            <w:r>
              <w:rPr>
                <w:rFonts w:ascii="仿宋_GB2312" w:hAnsi="仿宋_GB2312" w:cs="仿宋_GB2312" w:eastAsia="仿宋_GB2312"/>
                <w:sz w:val="24"/>
                <w:color w:val="000000"/>
              </w:rPr>
              <w:t>2021</w:t>
            </w:r>
            <w:r>
              <w:rPr>
                <w:rFonts w:ascii="仿宋_GB2312" w:hAnsi="仿宋_GB2312" w:cs="仿宋_GB2312" w:eastAsia="仿宋_GB2312"/>
                <w:sz w:val="24"/>
                <w:color w:val="000000"/>
              </w:rPr>
              <w:t>】</w:t>
            </w:r>
            <w:r>
              <w:rPr>
                <w:rFonts w:ascii="仿宋_GB2312" w:hAnsi="仿宋_GB2312" w:cs="仿宋_GB2312" w:eastAsia="仿宋_GB2312"/>
                <w:sz w:val="24"/>
                <w:color w:val="000000"/>
              </w:rPr>
              <w:t>1097</w:t>
            </w:r>
            <w:r>
              <w:rPr>
                <w:rFonts w:ascii="仿宋_GB2312" w:hAnsi="仿宋_GB2312" w:cs="仿宋_GB2312" w:eastAsia="仿宋_GB2312"/>
                <w:sz w:val="24"/>
                <w:color w:val="000000"/>
              </w:rPr>
              <w:t>号文调整，调整部分计入差价；其他规费按现行《计价规则》及配套计价文件计取；</w:t>
            </w:r>
          </w:p>
          <w:p>
            <w:pPr>
              <w:pStyle w:val="null3"/>
              <w:ind w:firstLine="7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）、工程量清单计价软件使用“广联达云计价平台</w:t>
            </w:r>
            <w:r>
              <w:rPr>
                <w:rFonts w:ascii="仿宋_GB2312" w:hAnsi="仿宋_GB2312" w:cs="仿宋_GB2312" w:eastAsia="仿宋_GB2312"/>
                <w:sz w:val="24"/>
                <w:color w:val="000000"/>
              </w:rPr>
              <w:t>GCCP6.0-6.4000.23.122</w:t>
            </w:r>
            <w:r>
              <w:rPr>
                <w:rFonts w:ascii="仿宋_GB2312" w:hAnsi="仿宋_GB2312" w:cs="仿宋_GB2312" w:eastAsia="仿宋_GB2312"/>
                <w:sz w:val="24"/>
                <w:color w:val="000000"/>
              </w:rPr>
              <w:t>”。</w:t>
            </w:r>
          </w:p>
          <w:p>
            <w:pPr>
              <w:pStyle w:val="null3"/>
              <w:ind w:firstLine="7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）、主要材料价格依据《渭南市工程造管价理信息》</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年第</w:t>
            </w:r>
            <w:r>
              <w:rPr>
                <w:rFonts w:ascii="仿宋_GB2312" w:hAnsi="仿宋_GB2312" w:cs="仿宋_GB2312" w:eastAsia="仿宋_GB2312"/>
                <w:sz w:val="24"/>
                <w:color w:val="000000"/>
              </w:rPr>
              <w:t>1</w:t>
            </w:r>
            <w:r>
              <w:rPr>
                <w:rFonts w:ascii="仿宋_GB2312" w:hAnsi="仿宋_GB2312" w:cs="仿宋_GB2312" w:eastAsia="仿宋_GB2312"/>
                <w:sz w:val="24"/>
                <w:color w:val="000000"/>
              </w:rPr>
              <w:t>期信息价及市场价计入。</w:t>
            </w:r>
          </w:p>
          <w:p>
            <w:pPr>
              <w:pStyle w:val="null3"/>
              <w:ind w:firstLine="72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、造价编制范围：</w:t>
            </w:r>
          </w:p>
          <w:p>
            <w:pPr>
              <w:pStyle w:val="null3"/>
              <w:ind w:firstLine="720"/>
              <w:jc w:val="both"/>
            </w:pPr>
            <w:r>
              <w:rPr>
                <w:rFonts w:ascii="仿宋_GB2312" w:hAnsi="仿宋_GB2312" w:cs="仿宋_GB2312" w:eastAsia="仿宋_GB2312"/>
                <w:sz w:val="24"/>
                <w:color w:val="000000"/>
              </w:rPr>
              <w:t>本次编制范围含道路工程的改造及管网管线改造工程，内容含图纸内所有内容。</w:t>
            </w:r>
          </w:p>
          <w:p>
            <w:pPr>
              <w:pStyle w:val="null3"/>
              <w:ind w:firstLine="72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、其他说明：</w:t>
            </w:r>
          </w:p>
          <w:p>
            <w:pPr>
              <w:pStyle w:val="null3"/>
              <w:ind w:firstLine="7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）、本项目劳保统筹基金、社会保障费、规费等按规定计取。</w:t>
            </w:r>
          </w:p>
          <w:p>
            <w:pPr>
              <w:pStyle w:val="null3"/>
              <w:ind w:firstLine="7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）、其他未说明部分详见招标文件及设计图纸；</w:t>
            </w:r>
          </w:p>
          <w:p>
            <w:pPr>
              <w:pStyle w:val="null3"/>
              <w:ind w:firstLine="720"/>
              <w:jc w:val="both"/>
            </w:pPr>
            <w:r>
              <w:rPr>
                <w:rFonts w:ascii="仿宋_GB2312" w:hAnsi="仿宋_GB2312" w:cs="仿宋_GB2312" w:eastAsia="仿宋_GB2312"/>
                <w:sz w:val="24"/>
                <w:color w:val="000000"/>
              </w:rPr>
              <w:t>（二）工程量清单</w:t>
            </w:r>
          </w:p>
          <w:p>
            <w:pPr>
              <w:pStyle w:val="null3"/>
              <w:ind w:firstLine="723"/>
              <w:jc w:val="center"/>
            </w:pPr>
            <w:r>
              <w:rPr>
                <w:rFonts w:ascii="仿宋_GB2312" w:hAnsi="仿宋_GB2312" w:cs="仿宋_GB2312" w:eastAsia="仿宋_GB2312"/>
                <w:sz w:val="24"/>
                <w:b/>
                <w:color w:val="000000"/>
              </w:rPr>
              <w:t>（详见附件）</w:t>
            </w:r>
          </w:p>
          <w:p>
            <w:pPr>
              <w:pStyle w:val="null3"/>
              <w:ind w:firstLine="723"/>
              <w:jc w:val="both"/>
            </w:pPr>
            <w:r>
              <w:rPr>
                <w:rFonts w:ascii="仿宋_GB2312" w:hAnsi="仿宋_GB2312" w:cs="仿宋_GB2312" w:eastAsia="仿宋_GB2312"/>
                <w:sz w:val="24"/>
                <w:b/>
                <w:color w:val="000000"/>
              </w:rPr>
              <w:t>三、商务要求</w:t>
            </w:r>
            <w:r>
              <w:rPr>
                <w:rFonts w:ascii="仿宋_GB2312" w:hAnsi="仿宋_GB2312" w:cs="仿宋_GB2312" w:eastAsia="仿宋_GB2312"/>
                <w:sz w:val="24"/>
                <w:b/>
                <w:color w:val="000000"/>
              </w:rPr>
              <w:t>★</w:t>
            </w:r>
          </w:p>
          <w:p>
            <w:pPr>
              <w:pStyle w:val="null3"/>
              <w:ind w:firstLine="720"/>
              <w:jc w:val="both"/>
            </w:pPr>
            <w:r>
              <w:rPr>
                <w:rFonts w:ascii="仿宋_GB2312" w:hAnsi="仿宋_GB2312" w:cs="仿宋_GB2312" w:eastAsia="仿宋_GB2312"/>
                <w:sz w:val="24"/>
                <w:color w:val="000000"/>
              </w:rPr>
              <w:t>（一）、工期及地点：</w:t>
            </w:r>
          </w:p>
          <w:p>
            <w:pPr>
              <w:pStyle w:val="null3"/>
              <w:ind w:firstLine="72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 工期：合同签订后</w:t>
            </w:r>
            <w:r>
              <w:rPr>
                <w:rFonts w:ascii="仿宋_GB2312" w:hAnsi="仿宋_GB2312" w:cs="仿宋_GB2312" w:eastAsia="仿宋_GB2312"/>
                <w:sz w:val="24"/>
                <w:color w:val="000000"/>
              </w:rPr>
              <w:t>60</w:t>
            </w:r>
            <w:r>
              <w:rPr>
                <w:rFonts w:ascii="仿宋_GB2312" w:hAnsi="仿宋_GB2312" w:cs="仿宋_GB2312" w:eastAsia="仿宋_GB2312"/>
                <w:sz w:val="24"/>
                <w:color w:val="000000"/>
              </w:rPr>
              <w:t>天内完成</w:t>
            </w:r>
          </w:p>
          <w:p>
            <w:pPr>
              <w:pStyle w:val="null3"/>
              <w:ind w:firstLine="72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 施工地点：富平县宫里镇，采购人指定地点</w:t>
            </w:r>
          </w:p>
          <w:p>
            <w:pPr>
              <w:pStyle w:val="null3"/>
              <w:ind w:firstLine="720"/>
              <w:jc w:val="both"/>
            </w:pPr>
            <w:r>
              <w:rPr>
                <w:rFonts w:ascii="仿宋_GB2312" w:hAnsi="仿宋_GB2312" w:cs="仿宋_GB2312" w:eastAsia="仿宋_GB2312"/>
                <w:sz w:val="24"/>
                <w:color w:val="000000"/>
              </w:rPr>
              <w:t>（二）、质量标准：严格按照国家颁发的施工技术验收规范进行施工，质量应达到国家质量检验评定的合格标准。符合国家、省、市及甲方相关规范、标准和规定。</w:t>
            </w:r>
          </w:p>
          <w:p>
            <w:pPr>
              <w:pStyle w:val="null3"/>
              <w:ind w:firstLine="720"/>
              <w:jc w:val="both"/>
            </w:pPr>
            <w:r>
              <w:rPr>
                <w:rFonts w:ascii="仿宋_GB2312" w:hAnsi="仿宋_GB2312" w:cs="仿宋_GB2312" w:eastAsia="仿宋_GB2312"/>
                <w:sz w:val="24"/>
                <w:color w:val="000000"/>
              </w:rPr>
              <w:t>（三）、质保期：按国家及行业相关标准执行，自验收合格之日起计算，若供应商承诺质量保修期多于文件要求的则按其承诺。</w:t>
            </w:r>
          </w:p>
          <w:p>
            <w:pPr>
              <w:pStyle w:val="null3"/>
              <w:ind w:firstLine="720"/>
              <w:jc w:val="both"/>
            </w:pPr>
            <w:r>
              <w:rPr>
                <w:rFonts w:ascii="仿宋_GB2312" w:hAnsi="仿宋_GB2312" w:cs="仿宋_GB2312" w:eastAsia="仿宋_GB2312"/>
                <w:sz w:val="24"/>
                <w:color w:val="000000"/>
              </w:rPr>
              <w:t>（四）、付款方式：</w:t>
            </w:r>
          </w:p>
          <w:p>
            <w:pPr>
              <w:pStyle w:val="null3"/>
              <w:ind w:firstLine="7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）结算单位：采购人结算，在付款前必须开具等额发票给采购人。</w:t>
            </w:r>
          </w:p>
          <w:p>
            <w:pPr>
              <w:pStyle w:val="null3"/>
              <w:ind w:firstLine="7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）付款方式：合同签订后，无特殊情况按施工进度付款，项目完工并经验收合格、审计后无特殊情况付至审定金额的</w:t>
            </w:r>
            <w:r>
              <w:rPr>
                <w:rFonts w:ascii="仿宋_GB2312" w:hAnsi="仿宋_GB2312" w:cs="仿宋_GB2312" w:eastAsia="仿宋_GB2312"/>
                <w:sz w:val="24"/>
                <w:color w:val="000000"/>
              </w:rPr>
              <w:t>97%</w:t>
            </w:r>
            <w:r>
              <w:rPr>
                <w:rFonts w:ascii="仿宋_GB2312" w:hAnsi="仿宋_GB2312" w:cs="仿宋_GB2312" w:eastAsia="仿宋_GB2312"/>
                <w:sz w:val="24"/>
                <w:color w:val="000000"/>
              </w:rPr>
              <w:t>，剩余</w:t>
            </w:r>
            <w:r>
              <w:rPr>
                <w:rFonts w:ascii="仿宋_GB2312" w:hAnsi="仿宋_GB2312" w:cs="仿宋_GB2312" w:eastAsia="仿宋_GB2312"/>
                <w:sz w:val="24"/>
                <w:color w:val="000000"/>
              </w:rPr>
              <w:t>3%</w:t>
            </w:r>
            <w:r>
              <w:rPr>
                <w:rFonts w:ascii="仿宋_GB2312" w:hAnsi="仿宋_GB2312" w:cs="仿宋_GB2312" w:eastAsia="仿宋_GB2312"/>
                <w:sz w:val="24"/>
                <w:color w:val="000000"/>
              </w:rPr>
              <w:t>待质保期满后无任何质量问题无特殊情况付清所有款项。</w:t>
            </w:r>
            <w:r>
              <w:rPr>
                <w:rFonts w:ascii="仿宋_GB2312" w:hAnsi="仿宋_GB2312" w:cs="仿宋_GB2312" w:eastAsia="仿宋_GB2312"/>
                <w:sz w:val="24"/>
                <w:color w:val="000000"/>
              </w:rPr>
              <w:t xml:space="preserve"> </w:t>
            </w:r>
          </w:p>
          <w:p>
            <w:pPr>
              <w:pStyle w:val="null3"/>
              <w:ind w:firstLine="723"/>
              <w:jc w:val="both"/>
            </w:pPr>
            <w:r>
              <w:rPr>
                <w:rFonts w:ascii="仿宋_GB2312" w:hAnsi="仿宋_GB2312" w:cs="仿宋_GB2312" w:eastAsia="仿宋_GB2312"/>
                <w:sz w:val="24"/>
                <w:b/>
                <w:color w:val="000000"/>
              </w:rPr>
              <w:t>注：特殊情况是指不可抗力或实际财政资金情况。</w:t>
            </w:r>
          </w:p>
          <w:p>
            <w:pPr>
              <w:pStyle w:val="null3"/>
              <w:ind w:firstLine="7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五</w:t>
            </w:r>
            <w:r>
              <w:rPr>
                <w:rFonts w:ascii="仿宋_GB2312" w:hAnsi="仿宋_GB2312" w:cs="仿宋_GB2312" w:eastAsia="仿宋_GB2312"/>
                <w:sz w:val="24"/>
                <w:color w:val="000000"/>
              </w:rPr>
              <w:t>）、</w:t>
            </w:r>
            <w:r>
              <w:rPr>
                <w:rFonts w:ascii="仿宋_GB2312" w:hAnsi="仿宋_GB2312" w:cs="仿宋_GB2312" w:eastAsia="仿宋_GB2312"/>
                <w:sz w:val="24"/>
                <w:color w:val="000000"/>
              </w:rPr>
              <w:t>本合同价款采用固定综合单价合同方式确定。</w:t>
            </w:r>
          </w:p>
          <w:p>
            <w:pPr>
              <w:pStyle w:val="null3"/>
              <w:ind w:firstLine="7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六</w:t>
            </w:r>
            <w:r>
              <w:rPr>
                <w:rFonts w:ascii="仿宋_GB2312" w:hAnsi="仿宋_GB2312" w:cs="仿宋_GB2312" w:eastAsia="仿宋_GB2312"/>
                <w:sz w:val="24"/>
                <w:color w:val="000000"/>
              </w:rPr>
              <w:t>）、合同实施：</w:t>
            </w:r>
          </w:p>
          <w:p>
            <w:pPr>
              <w:pStyle w:val="null3"/>
              <w:ind w:firstLine="72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、成交单位应在合同签订后</w:t>
            </w:r>
            <w:r>
              <w:rPr>
                <w:rFonts w:ascii="仿宋_GB2312" w:hAnsi="仿宋_GB2312" w:cs="仿宋_GB2312" w:eastAsia="仿宋_GB2312"/>
                <w:sz w:val="24"/>
                <w:color w:val="000000"/>
              </w:rPr>
              <w:t>7</w:t>
            </w:r>
            <w:r>
              <w:rPr>
                <w:rFonts w:ascii="仿宋_GB2312" w:hAnsi="仿宋_GB2312" w:cs="仿宋_GB2312" w:eastAsia="仿宋_GB2312"/>
                <w:sz w:val="24"/>
                <w:color w:val="000000"/>
              </w:rPr>
              <w:t>个日历日内安排人员与使用单位就本项目工作进行安排、部署。</w:t>
            </w:r>
          </w:p>
          <w:p>
            <w:pPr>
              <w:pStyle w:val="null3"/>
              <w:ind w:firstLine="72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、若因成交单位原因未能在服务期内完成合同规定的义务，由此对采购人造成的延误和一切损失，由成交单位承担和赔偿。</w:t>
            </w:r>
          </w:p>
          <w:p>
            <w:pPr>
              <w:pStyle w:val="null3"/>
              <w:ind w:firstLine="7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七</w:t>
            </w:r>
            <w:r>
              <w:rPr>
                <w:rFonts w:ascii="仿宋_GB2312" w:hAnsi="仿宋_GB2312" w:cs="仿宋_GB2312" w:eastAsia="仿宋_GB2312"/>
                <w:sz w:val="24"/>
                <w:color w:val="000000"/>
              </w:rPr>
              <w:t>）、违约责任</w:t>
            </w:r>
          </w:p>
          <w:p>
            <w:pPr>
              <w:pStyle w:val="null3"/>
              <w:ind w:firstLine="72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按《中华人民共和国民法典》中的相关条款执行。</w:t>
            </w:r>
          </w:p>
          <w:p>
            <w:pPr>
              <w:pStyle w:val="null3"/>
              <w:ind w:firstLine="72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未按合同要求提供服务的，采购人有权终止合同，并对供方违约行为进行追究，同时按《政府采购法》的有关规定进行处罚。</w:t>
            </w:r>
          </w:p>
          <w:p>
            <w:pPr>
              <w:pStyle w:val="null3"/>
              <w:ind w:firstLine="723"/>
              <w:jc w:val="both"/>
            </w:pPr>
            <w:r>
              <w:rPr>
                <w:rFonts w:ascii="仿宋_GB2312" w:hAnsi="仿宋_GB2312" w:cs="仿宋_GB2312" w:eastAsia="仿宋_GB2312"/>
                <w:sz w:val="24"/>
                <w:b/>
                <w:color w:val="000000"/>
              </w:rPr>
              <w:t>注：商务要求为实质性要求，不得负偏离。</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按国家及行业相关标准执行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线下提交投标文件正本壹套、副本贰套、电子版一套。若电子投标文件与纸质投标文件不一致的，以电子投标文件为准。 线下递交文件截止时间：在开标时间截止之前；线下递交文件地点：西安市未央区北二环大明宫立交桥百寰国际2705室。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或②在2025年1月1日至今其基本开户银行出具的资信证明或③财政部门认可的政府采购专业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合法注册的法人应提供营业执照（或事业法人证）、组织机构代码证、税务登记证或统一社会信用代码的营业执照或其他组织应提供合法证明文件或自然人提供身份证件；并进行电子签章。</w:t>
            </w:r>
          </w:p>
        </w:tc>
        <w:tc>
          <w:tcPr>
            <w:tcW w:type="dxa" w:w="1661"/>
          </w:tcPr>
          <w:p>
            <w:pPr>
              <w:pStyle w:val="null3"/>
            </w:pPr>
            <w:r>
              <w:rPr>
                <w:rFonts w:ascii="仿宋_GB2312" w:hAnsi="仿宋_GB2312" w:cs="仿宋_GB2312" w:eastAsia="仿宋_GB2312"/>
              </w:rPr>
              <w:t>供应商资质证明文件.pdf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证书等级：贰级及以上 专业：市政公用工程 补充说明：拟派项目经理须提供市政公用工程专业贰级（含贰级）以上注册建造师证书及安全生产考核合格证（B证），且无在建工程（提供相关平台官网截图或无在建承诺）；并进行电子签章。</w:t>
            </w:r>
          </w:p>
        </w:tc>
        <w:tc>
          <w:tcPr>
            <w:tcW w:type="dxa" w:w="1661"/>
          </w:tcPr>
          <w:p>
            <w:pPr>
              <w:pStyle w:val="null3"/>
            </w:pPr>
            <w:r>
              <w:rPr>
                <w:rFonts w:ascii="仿宋_GB2312" w:hAnsi="仿宋_GB2312" w:cs="仿宋_GB2312" w:eastAsia="仿宋_GB2312"/>
              </w:rPr>
              <w:t>供应商资质证明文件.pdf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良好的商业信誉和健全的财务会计制度</w:t>
            </w:r>
          </w:p>
        </w:tc>
        <w:tc>
          <w:tcPr>
            <w:tcW w:type="dxa" w:w="3322"/>
          </w:tcPr>
          <w:p>
            <w:pPr>
              <w:pStyle w:val="null3"/>
            </w:pPr>
            <w:r>
              <w:rPr>
                <w:rFonts w:ascii="仿宋_GB2312" w:hAnsi="仿宋_GB2312" w:cs="仿宋_GB2312" w:eastAsia="仿宋_GB2312"/>
              </w:rPr>
              <w:t>2023年度或2024年度经审计的财务报告或在2025年1月1日至今其基本开户银行出具的资信证明或财政部门认可的政府采购专业担保机构出具的投标担保函（以上三种形式的资料提供任何一种即可）；并进行电子签章。 注：1.提供资信证明的供应商，需同时提供基本开户银行的证明材料；2.事业单位可不提供本项证明材料。</w:t>
            </w:r>
          </w:p>
        </w:tc>
        <w:tc>
          <w:tcPr>
            <w:tcW w:type="dxa" w:w="1661"/>
          </w:tcPr>
          <w:p>
            <w:pPr>
              <w:pStyle w:val="null3"/>
            </w:pPr>
            <w:r>
              <w:rPr>
                <w:rFonts w:ascii="仿宋_GB2312" w:hAnsi="仿宋_GB2312" w:cs="仿宋_GB2312" w:eastAsia="仿宋_GB2312"/>
              </w:rPr>
              <w:t>供应商资质证明文件.pdf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提供2025年1月1日任意时段的缴纳证明，依法免税的单位应提供相关证明材料；并进行电子签章。事业单位参与投标时，可不提供本项证明材料。</w:t>
            </w:r>
          </w:p>
        </w:tc>
        <w:tc>
          <w:tcPr>
            <w:tcW w:type="dxa" w:w="1661"/>
          </w:tcPr>
          <w:p>
            <w:pPr>
              <w:pStyle w:val="null3"/>
            </w:pPr>
            <w:r>
              <w:rPr>
                <w:rFonts w:ascii="仿宋_GB2312" w:hAnsi="仿宋_GB2312" w:cs="仿宋_GB2312" w:eastAsia="仿宋_GB2312"/>
              </w:rPr>
              <w:t>供应商资质证明文件.pdf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（1）参加本次政府采购活动前三年内，在经营活动中没有重大违法记录的书面声明；（2）提供具有履行本合同所必需的设备和专业技术能力的声明；应提供书面声明并进行电子签章。</w:t>
            </w:r>
          </w:p>
        </w:tc>
        <w:tc>
          <w:tcPr>
            <w:tcW w:type="dxa" w:w="1661"/>
          </w:tcPr>
          <w:p>
            <w:pPr>
              <w:pStyle w:val="null3"/>
            </w:pPr>
            <w:r>
              <w:rPr>
                <w:rFonts w:ascii="仿宋_GB2312" w:hAnsi="仿宋_GB2312" w:cs="仿宋_GB2312" w:eastAsia="仿宋_GB2312"/>
              </w:rPr>
              <w:t>供应商资质证明文件.pdf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1）供应商须具有市政公用工程施工总承包三级或以上（含三级）资质，且具有合格有效的安全生产许可证；（2）项目经理：拟派项目经理须提供市政公用工程专业贰级（含贰级）以上注册建造师证书及安全生产考核合格证（B证），且无在建工程（提供相关平台官网截图或无在建承诺）；（3）法定代表人授权委托书：法定代表人直接参加投标的，须提供法定代表人身份证明(法人身份证原件备查）；法定代表人授权代表参加投标的，须提供法定代表人授权委托书(授权代表身份证原件备查）；并进行电子签章。</w:t>
            </w:r>
          </w:p>
        </w:tc>
        <w:tc>
          <w:tcPr>
            <w:tcW w:type="dxa" w:w="1661"/>
          </w:tcPr>
          <w:p>
            <w:pPr>
              <w:pStyle w:val="null3"/>
            </w:pPr>
            <w:r>
              <w:rPr>
                <w:rFonts w:ascii="仿宋_GB2312" w:hAnsi="仿宋_GB2312" w:cs="仿宋_GB2312" w:eastAsia="仿宋_GB2312"/>
              </w:rPr>
              <w:t>供应商资质证明文件.pdf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本项目不接受联合体磋商，单位负责人为同一人或者存在直接控股、管理关系的不同供应商，不得参加同一合同项下的政府采购活动。应提供书面声明并进行电子签章。</w:t>
            </w:r>
          </w:p>
        </w:tc>
        <w:tc>
          <w:tcPr>
            <w:tcW w:type="dxa" w:w="1661"/>
          </w:tcPr>
          <w:p>
            <w:pPr>
              <w:pStyle w:val="null3"/>
            </w:pPr>
            <w:r>
              <w:rPr>
                <w:rFonts w:ascii="仿宋_GB2312" w:hAnsi="仿宋_GB2312" w:cs="仿宋_GB2312" w:eastAsia="仿宋_GB2312"/>
              </w:rPr>
              <w:t>供应商资质证明文件.pdf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劳动力安排计划及劳务分包情况.pdf 已标价工程量清单 中小企业声明函 技术服务合同条款及其他商务要求应答表 文明施工措施计划.pdf 供应商资质证明文件.pdf 强制优先采购产品承诺函 质量控制方案.pdf 类似项目业绩.pdf 响应文件封面 施工进度计划.pdf 项目实施方案.pdf 残疾人福利性单位声明函 报价函 应急措施方案.pdf 标的清单 响应函 人员配备及项目组织机构.pdf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保证金缴纳凭证</w:t>
            </w:r>
          </w:p>
        </w:tc>
        <w:tc>
          <w:tcPr>
            <w:tcW w:type="dxa" w:w="3322"/>
          </w:tcPr>
          <w:p>
            <w:pPr>
              <w:pStyle w:val="null3"/>
            </w:pPr>
            <w:r>
              <w:rPr>
                <w:rFonts w:ascii="仿宋_GB2312" w:hAnsi="仿宋_GB2312" w:cs="仿宋_GB2312" w:eastAsia="仿宋_GB2312"/>
              </w:rPr>
              <w:t>提供保证金转账凭证或担保机构出具的保函是否符合磋商文件要求</w:t>
            </w:r>
          </w:p>
        </w:tc>
        <w:tc>
          <w:tcPr>
            <w:tcW w:type="dxa" w:w="1661"/>
          </w:tcPr>
          <w:p>
            <w:pPr>
              <w:pStyle w:val="null3"/>
            </w:pPr>
            <w:r>
              <w:rPr>
                <w:rFonts w:ascii="仿宋_GB2312" w:hAnsi="仿宋_GB2312" w:cs="仿宋_GB2312" w:eastAsia="仿宋_GB2312"/>
              </w:rPr>
              <w:t>保证金缴纳凭证.pdf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（1）磋商报价符合唯一性要求； （2）磋商报价填写符合要求；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响应文件封面 已标价工程量清单 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要求全面响应，符合竞争性磋商文件相关要求；不能有任何采购人不能接受的附加条件。</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完全理解并接受法律法规和竞争性磋商文件对供应商的各项须知、规约要求和责任义务，没有出现法律法规或竞争性磋商文件明确规定的其他被视为“无效投标”的情形。</w:t>
            </w:r>
          </w:p>
        </w:tc>
        <w:tc>
          <w:tcPr>
            <w:tcW w:type="dxa" w:w="1661"/>
          </w:tcPr>
          <w:p>
            <w:pPr>
              <w:pStyle w:val="null3"/>
            </w:pPr>
            <w:r>
              <w:rPr>
                <w:rFonts w:ascii="仿宋_GB2312" w:hAnsi="仿宋_GB2312" w:cs="仿宋_GB2312" w:eastAsia="仿宋_GB2312"/>
              </w:rPr>
              <w:t>劳动力安排计划及劳务分包情况.pdf 已标价工程量清单 中小企业声明函 技术服务合同条款及其他商务要求应答表 文明施工措施计划.pdf 供应商资质证明文件.pdf 强制优先采购产品承诺函 质量控制方案.pdf 类似项目业绩.pdf 响应文件封面 施工进度计划.pdf 保证金缴纳凭证.pdf 项目实施方案.pdf 残疾人福利性单位声明函 报价函 应急措施方案.pdf 标的清单 响应函 人员配备及项目组织机构.pdf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供应商应提供2022年1月1日至今类似施工项目业绩，每提供1份有效业绩证明计2分，最高得10分，不提供不得分。 注：业绩证明（以合同或中标/成交通知书为准，须在磋商响应文件中附以上证明材料的扫描件加盖单位公章，原件备查）。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类似项目业绩.pdf</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提供的针对本项目实际情况编制的项目实施方案（包含但不限于①施工方案、②工序方法、③现场可能发生的施工问题及相应的处理措施），由磋商小组进行评分：每项内容阐述主次分明，表述清晰的得 3 分，若仅提供内容，但未详细阐述的得 1.5 分。本项最高得9分；未提供或提供的内容存在明显不足或与本项目情况不符的不得分。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项目实施方案.pdf</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根据供应商针对本项目提供的质量控制方案（包含但不限于①质量目标、②质量保证措施），由磋商小组进行评分：每项内容阐述主次分明，表述清晰的得3分，若仅提供内容，但未详细阐述的得1.5 分。本项最高得6分；未提供或提供的内容存在明显不足或与本项目情况不符的不得分。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质量控制方案.pdf</w:t>
            </w:r>
          </w:p>
        </w:tc>
      </w:tr>
      <w:tr>
        <w:tc>
          <w:tcPr>
            <w:tcW w:type="dxa" w:w="831"/>
            <w:vMerge/>
          </w:tcPr>
          <w:p/>
        </w:tc>
        <w:tc>
          <w:tcPr>
            <w:tcW w:type="dxa" w:w="1661"/>
          </w:tcPr>
          <w:p>
            <w:pPr>
              <w:pStyle w:val="null3"/>
            </w:pPr>
            <w:r>
              <w:rPr>
                <w:rFonts w:ascii="仿宋_GB2312" w:hAnsi="仿宋_GB2312" w:cs="仿宋_GB2312" w:eastAsia="仿宋_GB2312"/>
              </w:rPr>
              <w:t>应急措施方案</w:t>
            </w:r>
          </w:p>
        </w:tc>
        <w:tc>
          <w:tcPr>
            <w:tcW w:type="dxa" w:w="2492"/>
          </w:tcPr>
          <w:p>
            <w:pPr>
              <w:pStyle w:val="null3"/>
            </w:pPr>
            <w:r>
              <w:rPr>
                <w:rFonts w:ascii="仿宋_GB2312" w:hAnsi="仿宋_GB2312" w:cs="仿宋_GB2312" w:eastAsia="仿宋_GB2312"/>
              </w:rPr>
              <w:t>根据供应商针对本项目提供的应急措施方案（包含但不限于①自然灾害、②防火防盗及停水断电），由磋商小组进行评分：每项内容阐述主次分明，表述清晰的得3分，若仅提供内容，但未详细阐述的得1.5分。本项最高得6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应急措施方案.pdf</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根据供应商提供的针对本项目提供的环保文明施工措施计划（包含但不限于①现场环境卫生保证及卫生管理措施、②文明施工措施及投入相应设施设备（如警示牌、洒水设备、清洁工具等），由磋商小组进行评分：每项内容阐述主次分明，表述清晰的得3分，若仅提供内容，但未详细阐述的得1.5分。本项最高得6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文明施工措施计划.pdf</w:t>
            </w:r>
          </w:p>
        </w:tc>
      </w:tr>
      <w:tr>
        <w:tc>
          <w:tcPr>
            <w:tcW w:type="dxa" w:w="831"/>
            <w:vMerge/>
          </w:tcPr>
          <w:p/>
        </w:tc>
        <w:tc>
          <w:tcPr>
            <w:tcW w:type="dxa" w:w="1661"/>
          </w:tcPr>
          <w:p>
            <w:pPr>
              <w:pStyle w:val="null3"/>
            </w:pPr>
            <w:r>
              <w:rPr>
                <w:rFonts w:ascii="仿宋_GB2312" w:hAnsi="仿宋_GB2312" w:cs="仿宋_GB2312" w:eastAsia="仿宋_GB2312"/>
              </w:rPr>
              <w:t>拟投入材料计划</w:t>
            </w:r>
          </w:p>
        </w:tc>
        <w:tc>
          <w:tcPr>
            <w:tcW w:type="dxa" w:w="2492"/>
          </w:tcPr>
          <w:p>
            <w:pPr>
              <w:pStyle w:val="null3"/>
            </w:pPr>
            <w:r>
              <w:rPr>
                <w:rFonts w:ascii="仿宋_GB2312" w:hAnsi="仿宋_GB2312" w:cs="仿宋_GB2312" w:eastAsia="仿宋_GB2312"/>
              </w:rPr>
              <w:t>根据供应商针对本项目提供的材料管理措施方案（包含但不限于①施工材料进场安排的合理性、②施工材料投入计划、③确保施工材料质量的保障方案），由磋商小组进行评分：每项内容阐述主次分明，表述清晰的得3分，若仅提供内容，但未详细阐述的得1.5 分。本项最高得9分；未提供或提供的内容存在明显不足或与本项目情况不符的不得分。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拟投入材料计划.pdf</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根据供应商针对本项目提供的施工进度计划（包含但不限于①总进度计划和施工进度表、②单位工程或分项工程施工进度计划、③进度保障措施），由磋商小组进行评分：每项内容阐述主次分明，表述清晰的得3分，若仅提供内容，但未详细阐述的得1.5分。本项最高得9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施工进度计划.pdf</w:t>
            </w:r>
          </w:p>
        </w:tc>
      </w:tr>
      <w:tr>
        <w:tc>
          <w:tcPr>
            <w:tcW w:type="dxa" w:w="831"/>
            <w:vMerge/>
          </w:tcPr>
          <w:p/>
        </w:tc>
        <w:tc>
          <w:tcPr>
            <w:tcW w:type="dxa" w:w="1661"/>
          </w:tcPr>
          <w:p>
            <w:pPr>
              <w:pStyle w:val="null3"/>
            </w:pPr>
            <w:r>
              <w:rPr>
                <w:rFonts w:ascii="仿宋_GB2312" w:hAnsi="仿宋_GB2312" w:cs="仿宋_GB2312" w:eastAsia="仿宋_GB2312"/>
              </w:rPr>
              <w:t>施工机械配备计划</w:t>
            </w:r>
          </w:p>
        </w:tc>
        <w:tc>
          <w:tcPr>
            <w:tcW w:type="dxa" w:w="2492"/>
          </w:tcPr>
          <w:p>
            <w:pPr>
              <w:pStyle w:val="null3"/>
            </w:pPr>
            <w:r>
              <w:rPr>
                <w:rFonts w:ascii="仿宋_GB2312" w:hAnsi="仿宋_GB2312" w:cs="仿宋_GB2312" w:eastAsia="仿宋_GB2312"/>
              </w:rPr>
              <w:t>根据供应商针对本项目提供的施工机械配备和材料投入计划（包含但不限于①施工机械配备、②机械进场计划），由磋商小组进行评分：每项内容阐述主次分明，表述清晰的得3分，若仅提供内容，但未详细阐述的得1.5分。本项最高得6分；未提供或提供的内容存在明显不足或与本项目情况不符的不得分。 （注：提供施工机械配备的租赁协议或者自有设备的发票等证明材料，不提供此项证明材料的此项不得分）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本项目拟投入的机械设备表.pdf</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根据供应商针对本项目提供的项目组织管理机构配备（包括但不限于项目技术人等各专业人员及相关技工人员），由磋商小组进行评分：内容阐述主次分明，人员配置齐全合理，表述清晰的得5分，若仅提供内容，但未详细阐述的得2.5分。本项最高得5分；未提供或提供的内容存在明显不足或与本项目情况不符的不得分。 注：需提供拟投入人员的执业证书/技术岗位证书、职称证（若有）、学历证书、身份证等证书证件。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人员配备及项目组织机构.pdf</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w:t>
            </w:r>
          </w:p>
        </w:tc>
        <w:tc>
          <w:tcPr>
            <w:tcW w:type="dxa" w:w="2492"/>
          </w:tcPr>
          <w:p>
            <w:pPr>
              <w:pStyle w:val="null3"/>
            </w:pPr>
            <w:r>
              <w:rPr>
                <w:rFonts w:ascii="仿宋_GB2312" w:hAnsi="仿宋_GB2312" w:cs="仿宋_GB2312" w:eastAsia="仿宋_GB2312"/>
              </w:rPr>
              <w:t>根据供应商针对本项目提供的①劳动力安排计划、②劳务分包。由磋商小组进行评分：每个内容阐述主次分明，表述清晰的得2 分，若仅提供内容，但未详细阐述的得1分。本项最高得4分；未提供或提供的内容存在明显不足或与本项目情况不符的不得分。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劳动力安排计划及劳务分包情况.pdf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价格分采用低价优先法计算，即满足竞争性磋商文件要求且投标价格最低的投标报价为评标基准价，其得分为满分。其他供应商的得分统一按照下列公式计算： 投标报价得分=（评标基准价/投标报价）×30 磋商小组认为供应商的报价明显低于其他通过符合性审查供应商的报价，有可能影响工程质量或者不能诚信履约的，应当要求其在评标现场合理的时间内提供书面说明，必要时提交相关证明材料；供应商不能证明其报价合理性的，磋商小组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详见附件：质量控制方案.pdf</w:t>
      </w:r>
    </w:p>
    <w:p>
      <w:pPr>
        <w:pStyle w:val="null3"/>
        <w:ind w:firstLine="960"/>
      </w:pPr>
      <w:r>
        <w:rPr>
          <w:rFonts w:ascii="仿宋_GB2312" w:hAnsi="仿宋_GB2312" w:cs="仿宋_GB2312" w:eastAsia="仿宋_GB2312"/>
        </w:rPr>
        <w:t>详见附件：应急措施方案.pdf</w:t>
      </w:r>
    </w:p>
    <w:p>
      <w:pPr>
        <w:pStyle w:val="null3"/>
        <w:ind w:firstLine="960"/>
      </w:pPr>
      <w:r>
        <w:rPr>
          <w:rFonts w:ascii="仿宋_GB2312" w:hAnsi="仿宋_GB2312" w:cs="仿宋_GB2312" w:eastAsia="仿宋_GB2312"/>
        </w:rPr>
        <w:t>详见附件：项目实施方案.pdf</w:t>
      </w:r>
    </w:p>
    <w:p>
      <w:pPr>
        <w:pStyle w:val="null3"/>
        <w:ind w:firstLine="960"/>
      </w:pPr>
      <w:r>
        <w:rPr>
          <w:rFonts w:ascii="仿宋_GB2312" w:hAnsi="仿宋_GB2312" w:cs="仿宋_GB2312" w:eastAsia="仿宋_GB2312"/>
        </w:rPr>
        <w:t>详见附件：文明施工措施计划.pdf</w:t>
      </w:r>
    </w:p>
    <w:p>
      <w:pPr>
        <w:pStyle w:val="null3"/>
        <w:ind w:firstLine="960"/>
      </w:pPr>
      <w:r>
        <w:rPr>
          <w:rFonts w:ascii="仿宋_GB2312" w:hAnsi="仿宋_GB2312" w:cs="仿宋_GB2312" w:eastAsia="仿宋_GB2312"/>
        </w:rPr>
        <w:t>详见附件：施工进度计划.pdf</w:t>
      </w:r>
    </w:p>
    <w:p>
      <w:pPr>
        <w:pStyle w:val="null3"/>
        <w:ind w:firstLine="960"/>
      </w:pPr>
      <w:r>
        <w:rPr>
          <w:rFonts w:ascii="仿宋_GB2312" w:hAnsi="仿宋_GB2312" w:cs="仿宋_GB2312" w:eastAsia="仿宋_GB2312"/>
        </w:rPr>
        <w:t>详见附件：人员配备及项目组织机构.pdf</w:t>
      </w:r>
    </w:p>
    <w:p>
      <w:pPr>
        <w:pStyle w:val="null3"/>
        <w:ind w:firstLine="960"/>
      </w:pPr>
      <w:r>
        <w:rPr>
          <w:rFonts w:ascii="仿宋_GB2312" w:hAnsi="仿宋_GB2312" w:cs="仿宋_GB2312" w:eastAsia="仿宋_GB2312"/>
        </w:rPr>
        <w:t>详见附件：类似项目业绩.pdf</w:t>
      </w:r>
    </w:p>
    <w:p>
      <w:pPr>
        <w:pStyle w:val="null3"/>
        <w:ind w:firstLine="960"/>
      </w:pPr>
      <w:r>
        <w:rPr>
          <w:rFonts w:ascii="仿宋_GB2312" w:hAnsi="仿宋_GB2312" w:cs="仿宋_GB2312" w:eastAsia="仿宋_GB2312"/>
        </w:rPr>
        <w:t>详见附件：劳动力安排计划及劳务分包情况.pdf</w:t>
      </w:r>
    </w:p>
    <w:p>
      <w:pPr>
        <w:pStyle w:val="null3"/>
        <w:ind w:firstLine="960"/>
      </w:pPr>
      <w:r>
        <w:rPr>
          <w:rFonts w:ascii="仿宋_GB2312" w:hAnsi="仿宋_GB2312" w:cs="仿宋_GB2312" w:eastAsia="仿宋_GB2312"/>
        </w:rPr>
        <w:t>详见附件：供应商资质证明文件.pdf</w:t>
      </w:r>
    </w:p>
    <w:p>
      <w:pPr>
        <w:pStyle w:val="null3"/>
        <w:ind w:firstLine="960"/>
      </w:pPr>
      <w:r>
        <w:rPr>
          <w:rFonts w:ascii="仿宋_GB2312" w:hAnsi="仿宋_GB2312" w:cs="仿宋_GB2312" w:eastAsia="仿宋_GB2312"/>
        </w:rPr>
        <w:t>详见附件：保证金缴纳凭证.pdf</w:t>
      </w:r>
    </w:p>
    <w:p>
      <w:pPr>
        <w:pStyle w:val="null3"/>
        <w:ind w:firstLine="960"/>
      </w:pPr>
      <w:r>
        <w:rPr>
          <w:rFonts w:ascii="仿宋_GB2312" w:hAnsi="仿宋_GB2312" w:cs="仿宋_GB2312" w:eastAsia="仿宋_GB2312"/>
        </w:rPr>
        <w:t>详见附件：本项目拟投入的机械设备表.pdf</w:t>
      </w:r>
    </w:p>
    <w:p>
      <w:pPr>
        <w:pStyle w:val="null3"/>
        <w:ind w:firstLine="960"/>
      </w:pPr>
      <w:r>
        <w:rPr>
          <w:rFonts w:ascii="仿宋_GB2312" w:hAnsi="仿宋_GB2312" w:cs="仿宋_GB2312" w:eastAsia="仿宋_GB2312"/>
        </w:rPr>
        <w:t>详见附件：拟投入材料计划.pdf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