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版本号：JQ2025-ZFCG-011X20250625003</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2025年富平县宫里镇雷村村柿饼加工厂提升项目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JQ2025-ZFCG-011X</w:t>
      </w:r>
      <w:r>
        <w:br/>
      </w:r>
      <w:r>
        <w:br/>
      </w:r>
      <w:r>
        <w:br/>
      </w:r>
    </w:p>
    <w:p>
      <w:pPr>
        <w:pStyle w:val="null3"/>
        <w:jc w:val="center"/>
        <w:outlineLvl w:val="2"/>
      </w:pPr>
      <w:r>
        <w:rPr>
          <w:rFonts w:ascii="仿宋_GB2312" w:hAnsi="仿宋_GB2312" w:cs="仿宋_GB2312" w:eastAsia="仿宋_GB2312"/>
          <w:sz w:val="28"/>
          <w:b/>
        </w:rPr>
        <w:t>富平县宫里镇人民政府（本级）</w:t>
      </w:r>
    </w:p>
    <w:p>
      <w:pPr>
        <w:pStyle w:val="null3"/>
        <w:jc w:val="center"/>
        <w:outlineLvl w:val="2"/>
      </w:pPr>
      <w:r>
        <w:rPr>
          <w:rFonts w:ascii="仿宋_GB2312" w:hAnsi="仿宋_GB2312" w:cs="仿宋_GB2312" w:eastAsia="仿宋_GB2312"/>
          <w:sz w:val="28"/>
          <w:b/>
        </w:rPr>
        <w:t>泾清项目管理有限公司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2025年06月18日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泾清项目管理有限公司</w:t>
      </w:r>
      <w:r>
        <w:rPr>
          <w:rFonts w:ascii="仿宋_GB2312" w:hAnsi="仿宋_GB2312" w:cs="仿宋_GB2312" w:eastAsia="仿宋_GB2312"/>
        </w:rPr>
        <w:t>（以下简称“代理机构”）受</w:t>
      </w:r>
      <w:r>
        <w:rPr>
          <w:rFonts w:ascii="仿宋_GB2312" w:hAnsi="仿宋_GB2312" w:cs="仿宋_GB2312" w:eastAsia="仿宋_GB2312"/>
        </w:rPr>
        <w:t>富平县宫里镇人民政府（本级）</w:t>
      </w:r>
      <w:r>
        <w:rPr>
          <w:rFonts w:ascii="仿宋_GB2312" w:hAnsi="仿宋_GB2312" w:cs="仿宋_GB2312" w:eastAsia="仿宋_GB2312"/>
        </w:rPr>
        <w:t>委托，拟对</w:t>
      </w:r>
      <w:r>
        <w:rPr>
          <w:rFonts w:ascii="仿宋_GB2312" w:hAnsi="仿宋_GB2312" w:cs="仿宋_GB2312" w:eastAsia="仿宋_GB2312"/>
        </w:rPr>
        <w:t>2025年富平县宫里镇雷村村柿饼加工厂提升项目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JQ2025-ZFCG-011X</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2025年富平县宫里镇雷村村柿饼加工厂提升项目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详见第三章技术参数</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1、营业执照：具有独立承担民事责任能力的法人、其他组织或自然人，提供合法有效年报合格的统一社会信用代码营业执照或事业单位法人证书等国家规定的相关证明，自然人参与的提供其身份证明；</w:t>
      </w:r>
    </w:p>
    <w:p>
      <w:pPr>
        <w:pStyle w:val="null3"/>
      </w:pPr>
      <w:r>
        <w:rPr>
          <w:rFonts w:ascii="仿宋_GB2312" w:hAnsi="仿宋_GB2312" w:cs="仿宋_GB2312" w:eastAsia="仿宋_GB2312"/>
        </w:rPr>
        <w:t>2、财务状况报告：提供2023年或2024年度的财务审计报告（至少包括资产负债表和利润表，成立时间至提交响应文件截止时间不足一年的可提供成立后任意时段的资产负债表），或其基本存款账户开户银行出具的近三个月的资信证明；</w:t>
      </w:r>
    </w:p>
    <w:p>
      <w:pPr>
        <w:pStyle w:val="null3"/>
      </w:pPr>
      <w:r>
        <w:rPr>
          <w:rFonts w:ascii="仿宋_GB2312" w:hAnsi="仿宋_GB2312" w:cs="仿宋_GB2312" w:eastAsia="仿宋_GB2312"/>
        </w:rPr>
        <w:t>3、税收缴纳证明：提供2024年度6月至今已缴纳的至少3个月的纳税证明（银行缴费凭证）或完税证明，依法免税的单位应提供相关证明材料；</w:t>
      </w:r>
    </w:p>
    <w:p>
      <w:pPr>
        <w:pStyle w:val="null3"/>
      </w:pPr>
      <w:r>
        <w:rPr>
          <w:rFonts w:ascii="仿宋_GB2312" w:hAnsi="仿宋_GB2312" w:cs="仿宋_GB2312" w:eastAsia="仿宋_GB2312"/>
        </w:rPr>
        <w:t>4、社会养老保障资金缴纳证明：提供2024年度6月至今已缴存的至少3个月的社会养老保障资金银行缴费单据或社保机构开具的社会养老保险参保缴费情况证明，依法不需要缴纳社会保障资金的单位应提供相关证明材料；</w:t>
      </w:r>
    </w:p>
    <w:p>
      <w:pPr>
        <w:pStyle w:val="null3"/>
      </w:pPr>
      <w:r>
        <w:rPr>
          <w:rFonts w:ascii="仿宋_GB2312" w:hAnsi="仿宋_GB2312" w:cs="仿宋_GB2312" w:eastAsia="仿宋_GB2312"/>
        </w:rPr>
        <w:t>5、提供具有履行本合同所必需的设备和专业技术能力的声明：提供声明；</w:t>
      </w:r>
    </w:p>
    <w:p>
      <w:pPr>
        <w:pStyle w:val="null3"/>
      </w:pPr>
      <w:r>
        <w:rPr>
          <w:rFonts w:ascii="仿宋_GB2312" w:hAnsi="仿宋_GB2312" w:cs="仿宋_GB2312" w:eastAsia="仿宋_GB2312"/>
        </w:rPr>
        <w:t>6、法定代表人授权委托书：法定代表人授权委托书：法定代表人参加投标的，须出示身份证；法定代表人授权他人参加投标的，须提供法定代表人授权委托书及被授权人身份证</w:t>
      </w:r>
    </w:p>
    <w:p>
      <w:pPr>
        <w:pStyle w:val="null3"/>
      </w:pPr>
      <w:r>
        <w:rPr>
          <w:rFonts w:ascii="仿宋_GB2312" w:hAnsi="仿宋_GB2312" w:cs="仿宋_GB2312" w:eastAsia="仿宋_GB2312"/>
        </w:rPr>
        <w:t>7、网站截图：供应商应在投标截止日前未被列入失信被执行人、重大税收违法案件当事人名单、政府采购严重违法失信行为记录名单（处罚期限届满的除外（以“信用中国”网站（www.creditchina.gov.cn）查询结果为准）；中国政府采购网（www.ccgp.gov.cn）提供政府采购严重违法失信行为记录名单（处罚期限届满的除外）网站截图并加盖单位公章；</w:t>
      </w:r>
    </w:p>
    <w:p>
      <w:pPr>
        <w:pStyle w:val="null3"/>
      </w:pPr>
      <w:r>
        <w:rPr>
          <w:rFonts w:ascii="仿宋_GB2312" w:hAnsi="仿宋_GB2312" w:cs="仿宋_GB2312" w:eastAsia="仿宋_GB2312"/>
        </w:rPr>
        <w:t>8、保证金缴纳凭据：保证金缴纳凭据提供银行转账凭证、基本存款账户信息资料复印件或金融机构、担保机构出具的保函复印件，复印件均须加盖公章；</w:t>
      </w:r>
    </w:p>
    <w:p>
      <w:pPr>
        <w:pStyle w:val="null3"/>
      </w:pPr>
      <w:r>
        <w:rPr>
          <w:rFonts w:ascii="仿宋_GB2312" w:hAnsi="仿宋_GB2312" w:cs="仿宋_GB2312" w:eastAsia="仿宋_GB2312"/>
        </w:rPr>
        <w:t>9、参加政府采购活动前三年内在经营活动中没有重大违法记录的书面声明：供应商提供书面声明；</w:t>
      </w:r>
    </w:p>
    <w:p>
      <w:pPr>
        <w:pStyle w:val="null3"/>
      </w:pPr>
      <w:r>
        <w:rPr>
          <w:rFonts w:ascii="仿宋_GB2312" w:hAnsi="仿宋_GB2312" w:cs="仿宋_GB2312" w:eastAsia="仿宋_GB2312"/>
        </w:rPr>
        <w:t>10、供应商企业关系关联及联合体说明：本项目不接受联合体投标，单位负责人为同一人或者存在直接控股、管理关系的不同供应商，不得同时参加本项目同一标段投标；</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富平县宫里镇人民政府（本级）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富平县宫里镇街道</w:t>
      </w:r>
    </w:p>
    <w:p>
      <w:pPr>
        <w:pStyle w:val="null3"/>
      </w:pPr>
      <w:r>
        <w:rPr>
          <w:rFonts w:ascii="仿宋_GB2312" w:hAnsi="仿宋_GB2312" w:cs="仿宋_GB2312" w:eastAsia="仿宋_GB2312"/>
        </w:rPr>
        <w:t xml:space="preserve"> 邮编： </w:t>
      </w:r>
      <w:r>
        <w:rPr>
          <w:rFonts w:ascii="仿宋_GB2312" w:hAnsi="仿宋_GB2312" w:cs="仿宋_GB2312" w:eastAsia="仿宋_GB2312"/>
        </w:rPr>
        <w:t>711700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吕雅妮</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0913-8791001</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泾清项目管理有限公司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陕西省西安市高陵区东环路土地局家属院2幢6号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710200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许倩</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19992553727</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富平县政府采购管理股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蒋老师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0913-8221145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采购包1：700,000.00元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采购包1保证金金额：10,000.00元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开户名称：泾清项目管理有限公司富平分公司</w:t>
            </w:r>
          </w:p>
          <w:p>
            <w:pPr>
              <w:pStyle w:val="null3"/>
            </w:pPr>
            <w:r>
              <w:rPr>
                <w:rFonts w:ascii="仿宋_GB2312" w:hAnsi="仿宋_GB2312" w:cs="仿宋_GB2312" w:eastAsia="仿宋_GB2312"/>
              </w:rPr>
              <w:t>开户银行：中国建设银行股份有限公司富平县支行</w:t>
            </w:r>
          </w:p>
          <w:p>
            <w:pPr>
              <w:pStyle w:val="null3"/>
            </w:pPr>
            <w:r>
              <w:rPr>
                <w:rFonts w:ascii="仿宋_GB2312" w:hAnsi="仿宋_GB2312" w:cs="仿宋_GB2312" w:eastAsia="仿宋_GB2312"/>
              </w:rPr>
              <w:t>银行账号：61050164830800002007</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招标代理费参照国家计委关于印发《招标代理服务收费管理暂行办法》的通知（计价格〔2002〕1980号）、《国家发展和改革委员会办公厅关于招标代理服务收费有关问题的通知》（发改办价格〔2003〕857号）文件规定，代理服务费优惠后按中标价格的6‰收取。由中标单位支付。若本次招标失败（非代理机构原因），招标代理费、编制标底费由采购人支付。具体金额详见采购结果公告，在领取中标通知书时向采购代理机构一次付清.</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富平县宫里镇人民政府（本级）</w:t>
      </w:r>
      <w:r>
        <w:rPr>
          <w:rFonts w:ascii="仿宋_GB2312" w:hAnsi="仿宋_GB2312" w:cs="仿宋_GB2312" w:eastAsia="仿宋_GB2312"/>
        </w:rPr>
        <w:t>和</w:t>
      </w:r>
      <w:r>
        <w:rPr>
          <w:rFonts w:ascii="仿宋_GB2312" w:hAnsi="仿宋_GB2312" w:cs="仿宋_GB2312" w:eastAsia="仿宋_GB2312"/>
        </w:rPr>
        <w:t>泾清项目管理有限公司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富平县宫里镇人民政府（本级）</w:t>
      </w:r>
      <w:r>
        <w:rPr>
          <w:rFonts w:ascii="仿宋_GB2312" w:hAnsi="仿宋_GB2312" w:cs="仿宋_GB2312" w:eastAsia="仿宋_GB2312"/>
        </w:rPr>
        <w:t>负责解释。除上述招标文件内容，其他内容由</w:t>
      </w:r>
      <w:r>
        <w:rPr>
          <w:rFonts w:ascii="仿宋_GB2312" w:hAnsi="仿宋_GB2312" w:cs="仿宋_GB2312" w:eastAsia="仿宋_GB2312"/>
        </w:rPr>
        <w:t>泾清项目管理有限公司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富平县宫里镇人民政府（本级）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泾清项目管理有限公司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以招标文件及合同约定为准。验收依据：合同文本，招标文件，投标响应文件，供应商所出具的检验报告满足国家或行业规范执行标准。</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泾清项目管理有限公司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泾清项目管理有限公司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泾清项目管理有限公司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联系人：许倩</w:t>
      </w:r>
    </w:p>
    <w:p>
      <w:pPr>
        <w:pStyle w:val="null3"/>
      </w:pPr>
      <w:r>
        <w:rPr>
          <w:rFonts w:ascii="仿宋_GB2312" w:hAnsi="仿宋_GB2312" w:cs="仿宋_GB2312" w:eastAsia="仿宋_GB2312"/>
        </w:rPr>
        <w:t>联系电话：19992553727</w:t>
      </w:r>
    </w:p>
    <w:p>
      <w:pPr>
        <w:pStyle w:val="null3"/>
      </w:pPr>
      <w:r>
        <w:rPr>
          <w:rFonts w:ascii="仿宋_GB2312" w:hAnsi="仿宋_GB2312" w:cs="仿宋_GB2312" w:eastAsia="仿宋_GB2312"/>
        </w:rPr>
        <w:t>地址：陕西省西安市高陵区东环路土地局家属院2幢6号</w:t>
      </w:r>
    </w:p>
    <w:p>
      <w:pPr>
        <w:pStyle w:val="null3"/>
      </w:pPr>
      <w:r>
        <w:rPr>
          <w:rFonts w:ascii="仿宋_GB2312" w:hAnsi="仿宋_GB2312" w:cs="仿宋_GB2312" w:eastAsia="仿宋_GB2312"/>
        </w:rPr>
        <w:t>邮编：710200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详见附件参数表</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700,000.00</w:t>
      </w:r>
    </w:p>
    <w:p>
      <w:pPr>
        <w:pStyle w:val="null3"/>
      </w:pPr>
      <w:r>
        <w:rPr>
          <w:rFonts w:ascii="仿宋_GB2312" w:hAnsi="仿宋_GB2312" w:cs="仿宋_GB2312" w:eastAsia="仿宋_GB2312"/>
        </w:rPr>
        <w:t>采购包最高限价（元）: 700,000.00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2025年富平县宫里镇雷村村柿饼加工厂提升项目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标的名称：2025年富平县宫里镇雷村村柿饼加工厂提升项目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397"/>
              <w:gridCol w:w="163"/>
              <w:gridCol w:w="141"/>
              <w:gridCol w:w="1711"/>
            </w:tblGrid>
            <w:tr>
              <w:tc>
                <w:tcPr>
                  <w:tcW w:type="dxa" w:w="39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名称</w:t>
                  </w:r>
                </w:p>
              </w:tc>
              <w:tc>
                <w:tcPr>
                  <w:tcW w:type="dxa" w:w="16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单位</w:t>
                  </w:r>
                </w:p>
              </w:tc>
              <w:tc>
                <w:tcPr>
                  <w:tcW w:type="dxa" w:w="14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数量</w:t>
                  </w:r>
                </w:p>
              </w:tc>
              <w:tc>
                <w:tcPr>
                  <w:tcW w:type="dxa" w:w="171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参数</w:t>
                  </w:r>
                </w:p>
              </w:tc>
            </w:tr>
            <w:tr>
              <w:tc>
                <w:tcPr>
                  <w:tcW w:type="dxa" w:w="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冷库及其附属设备</w:t>
                  </w:r>
                </w:p>
              </w:tc>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座</w:t>
                  </w:r>
                </w:p>
              </w:tc>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7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rPr>
                    <w:t>①</w:t>
                  </w:r>
                  <w:r>
                    <w:rPr>
                      <w:rFonts w:ascii="仿宋_GB2312" w:hAnsi="仿宋_GB2312" w:cs="仿宋_GB2312" w:eastAsia="仿宋_GB2312"/>
                      <w:sz w:val="24"/>
                    </w:rPr>
                    <w:t>库容：＞</w:t>
                  </w:r>
                  <w:r>
                    <w:rPr>
                      <w:rFonts w:ascii="仿宋_GB2312" w:hAnsi="仿宋_GB2312" w:cs="仿宋_GB2312" w:eastAsia="仿宋_GB2312"/>
                      <w:sz w:val="24"/>
                    </w:rPr>
                    <w:t>100m</w:t>
                  </w:r>
                  <w:r>
                    <w:rPr>
                      <w:rFonts w:ascii="仿宋_GB2312" w:hAnsi="仿宋_GB2312" w:cs="仿宋_GB2312" w:eastAsia="仿宋_GB2312"/>
                      <w:sz w:val="24"/>
                    </w:rPr>
                    <w:t>³（参考长</w:t>
                  </w:r>
                  <w:r>
                    <w:rPr>
                      <w:rFonts w:ascii="仿宋_GB2312" w:hAnsi="仿宋_GB2312" w:cs="仿宋_GB2312" w:eastAsia="仿宋_GB2312"/>
                      <w:sz w:val="24"/>
                    </w:rPr>
                    <w:t>6m*</w:t>
                  </w:r>
                  <w:r>
                    <w:rPr>
                      <w:rFonts w:ascii="仿宋_GB2312" w:hAnsi="仿宋_GB2312" w:cs="仿宋_GB2312" w:eastAsia="仿宋_GB2312"/>
                      <w:sz w:val="24"/>
                    </w:rPr>
                    <w:t>宽</w:t>
                  </w:r>
                  <w:r>
                    <w:rPr>
                      <w:rFonts w:ascii="仿宋_GB2312" w:hAnsi="仿宋_GB2312" w:cs="仿宋_GB2312" w:eastAsia="仿宋_GB2312"/>
                      <w:sz w:val="24"/>
                    </w:rPr>
                    <w:t>4.8m*</w:t>
                  </w:r>
                  <w:r>
                    <w:rPr>
                      <w:rFonts w:ascii="仿宋_GB2312" w:hAnsi="仿宋_GB2312" w:cs="仿宋_GB2312" w:eastAsia="仿宋_GB2312"/>
                      <w:sz w:val="24"/>
                    </w:rPr>
                    <w:t>高</w:t>
                  </w:r>
                  <w:r>
                    <w:rPr>
                      <w:rFonts w:ascii="仿宋_GB2312" w:hAnsi="仿宋_GB2312" w:cs="仿宋_GB2312" w:eastAsia="仿宋_GB2312"/>
                      <w:sz w:val="24"/>
                    </w:rPr>
                    <w:t>3.5m</w:t>
                  </w:r>
                  <w:r>
                    <w:rPr>
                      <w:rFonts w:ascii="仿宋_GB2312" w:hAnsi="仿宋_GB2312" w:cs="仿宋_GB2312" w:eastAsia="仿宋_GB2312"/>
                      <w:sz w:val="24"/>
                    </w:rPr>
                    <w:t>）</w:t>
                  </w:r>
                </w:p>
              </w:tc>
            </w:tr>
            <w:tr>
              <w:tc>
                <w:tcPr>
                  <w:tcW w:type="dxa" w:w="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7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①冷库板</w:t>
                  </w:r>
                  <w:r>
                    <w:rPr>
                      <w:rFonts w:ascii="仿宋_GB2312" w:hAnsi="仿宋_GB2312" w:cs="仿宋_GB2312" w:eastAsia="仿宋_GB2312"/>
                      <w:sz w:val="24"/>
                      <w:color w:val="000000"/>
                    </w:rPr>
                    <w:t>：</w:t>
                  </w:r>
                  <w:r>
                    <w:rPr>
                      <w:rFonts w:ascii="仿宋_GB2312" w:hAnsi="仿宋_GB2312" w:cs="仿宋_GB2312" w:eastAsia="仿宋_GB2312"/>
                      <w:sz w:val="24"/>
                    </w:rPr>
                    <w:t>厚度</w:t>
                  </w:r>
                  <w:r>
                    <w:rPr>
                      <w:rFonts w:ascii="仿宋_GB2312" w:hAnsi="仿宋_GB2312" w:cs="仿宋_GB2312" w:eastAsia="仿宋_GB2312"/>
                      <w:sz w:val="24"/>
                    </w:rPr>
                    <w:t>≥10cm</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②</w:t>
                  </w:r>
                  <w:r>
                    <w:rPr>
                      <w:rFonts w:ascii="仿宋_GB2312" w:hAnsi="仿宋_GB2312" w:cs="仿宋_GB2312" w:eastAsia="仿宋_GB2312"/>
                      <w:sz w:val="24"/>
                    </w:rPr>
                    <w:t>材质：</w:t>
                  </w:r>
                  <w:r>
                    <w:rPr>
                      <w:rFonts w:ascii="仿宋_GB2312" w:hAnsi="仿宋_GB2312" w:cs="仿宋_GB2312" w:eastAsia="仿宋_GB2312"/>
                      <w:sz w:val="24"/>
                    </w:rPr>
                    <w:t>彩钢</w:t>
                  </w:r>
                  <w:r>
                    <w:rPr>
                      <w:rFonts w:ascii="仿宋_GB2312" w:hAnsi="仿宋_GB2312" w:cs="仿宋_GB2312" w:eastAsia="仿宋_GB2312"/>
                      <w:sz w:val="24"/>
                      <w:color w:val="000000"/>
                    </w:rPr>
                    <w:t>，</w:t>
                  </w:r>
                </w:p>
                <w:p>
                  <w:pPr>
                    <w:pStyle w:val="null3"/>
                    <w:jc w:val="left"/>
                  </w:pPr>
                  <w:r>
                    <w:rPr>
                      <w:rFonts w:ascii="仿宋_GB2312" w:hAnsi="仿宋_GB2312" w:cs="仿宋_GB2312" w:eastAsia="仿宋_GB2312"/>
                      <w:sz w:val="24"/>
                      <w:color w:val="000000"/>
                    </w:rPr>
                    <w:t>③冷库门</w:t>
                  </w:r>
                  <w:r>
                    <w:rPr>
                      <w:rFonts w:ascii="仿宋_GB2312" w:hAnsi="仿宋_GB2312" w:cs="仿宋_GB2312" w:eastAsia="仿宋_GB2312"/>
                      <w:sz w:val="24"/>
                      <w:color w:val="000000"/>
                    </w:rPr>
                    <w:t>：</w:t>
                  </w:r>
                  <w:r>
                    <w:rPr>
                      <w:rFonts w:ascii="仿宋_GB2312" w:hAnsi="仿宋_GB2312" w:cs="仿宋_GB2312" w:eastAsia="仿宋_GB2312"/>
                      <w:sz w:val="24"/>
                    </w:rPr>
                    <w:t>平移门</w:t>
                  </w:r>
                  <w:r>
                    <w:rPr>
                      <w:rFonts w:ascii="仿宋_GB2312" w:hAnsi="仿宋_GB2312" w:cs="仿宋_GB2312" w:eastAsia="仿宋_GB2312"/>
                      <w:sz w:val="24"/>
                    </w:rPr>
                    <w:t>宽</w:t>
                  </w:r>
                  <w:r>
                    <w:rPr>
                      <w:rFonts w:ascii="仿宋_GB2312" w:hAnsi="仿宋_GB2312" w:cs="仿宋_GB2312" w:eastAsia="仿宋_GB2312"/>
                      <w:sz w:val="24"/>
                    </w:rPr>
                    <w:t>1.5</w:t>
                  </w:r>
                  <w:r>
                    <w:rPr>
                      <w:rFonts w:ascii="仿宋_GB2312" w:hAnsi="仿宋_GB2312" w:cs="仿宋_GB2312" w:eastAsia="仿宋_GB2312"/>
                      <w:sz w:val="24"/>
                    </w:rPr>
                    <w:t>m</w:t>
                  </w:r>
                  <w:r>
                    <w:rPr>
                      <w:rFonts w:ascii="仿宋_GB2312" w:hAnsi="仿宋_GB2312" w:cs="仿宋_GB2312" w:eastAsia="仿宋_GB2312"/>
                      <w:sz w:val="24"/>
                    </w:rPr>
                    <w:t>*</w:t>
                  </w:r>
                  <w:r>
                    <w:rPr>
                      <w:rFonts w:ascii="仿宋_GB2312" w:hAnsi="仿宋_GB2312" w:cs="仿宋_GB2312" w:eastAsia="仿宋_GB2312"/>
                      <w:sz w:val="24"/>
                    </w:rPr>
                    <w:t>高</w:t>
                  </w:r>
                  <w:r>
                    <w:rPr>
                      <w:rFonts w:ascii="仿宋_GB2312" w:hAnsi="仿宋_GB2312" w:cs="仿宋_GB2312" w:eastAsia="仿宋_GB2312"/>
                      <w:sz w:val="24"/>
                    </w:rPr>
                    <w:t>2.2</w:t>
                  </w:r>
                  <w:r>
                    <w:rPr>
                      <w:rFonts w:ascii="仿宋_GB2312" w:hAnsi="仿宋_GB2312" w:cs="仿宋_GB2312" w:eastAsia="仿宋_GB2312"/>
                      <w:sz w:val="24"/>
                    </w:rPr>
                    <w:t>m</w:t>
                  </w:r>
                  <w:r>
                    <w:rPr>
                      <w:rFonts w:ascii="仿宋_GB2312" w:hAnsi="仿宋_GB2312" w:cs="仿宋_GB2312" w:eastAsia="仿宋_GB2312"/>
                      <w:sz w:val="24"/>
                      <w:color w:val="000000"/>
                    </w:rPr>
                    <w:t>，</w:t>
                  </w:r>
                </w:p>
                <w:p>
                  <w:pPr>
                    <w:pStyle w:val="null3"/>
                    <w:jc w:val="left"/>
                  </w:pPr>
                  <w:r>
                    <w:rPr>
                      <w:rFonts w:ascii="仿宋_GB2312" w:hAnsi="仿宋_GB2312" w:cs="仿宋_GB2312" w:eastAsia="仿宋_GB2312"/>
                      <w:sz w:val="24"/>
                      <w:color w:val="000000"/>
                    </w:rPr>
                    <w:t>④风幕机</w:t>
                  </w:r>
                  <w:r>
                    <w:rPr>
                      <w:rFonts w:ascii="仿宋_GB2312" w:hAnsi="仿宋_GB2312" w:cs="仿宋_GB2312" w:eastAsia="仿宋_GB2312"/>
                      <w:sz w:val="24"/>
                      <w:color w:val="000000"/>
                    </w:rPr>
                    <w:t>：</w:t>
                  </w:r>
                  <w:r>
                    <w:rPr>
                      <w:rFonts w:ascii="仿宋_GB2312" w:hAnsi="仿宋_GB2312" w:cs="仿宋_GB2312" w:eastAsia="仿宋_GB2312"/>
                      <w:sz w:val="24"/>
                    </w:rPr>
                    <w:t>1.5</w:t>
                  </w:r>
                  <w:r>
                    <w:rPr>
                      <w:rFonts w:ascii="仿宋_GB2312" w:hAnsi="仿宋_GB2312" w:cs="仿宋_GB2312" w:eastAsia="仿宋_GB2312"/>
                      <w:sz w:val="24"/>
                    </w:rPr>
                    <w:t>m</w:t>
                  </w:r>
                  <w:r>
                    <w:rPr>
                      <w:rFonts w:ascii="仿宋_GB2312" w:hAnsi="仿宋_GB2312" w:cs="仿宋_GB2312" w:eastAsia="仿宋_GB2312"/>
                      <w:sz w:val="24"/>
                      <w:color w:val="000000"/>
                    </w:rPr>
                    <w:t>，</w:t>
                  </w:r>
                </w:p>
                <w:p>
                  <w:pPr>
                    <w:pStyle w:val="null3"/>
                    <w:jc w:val="left"/>
                  </w:pPr>
                  <w:r>
                    <w:rPr>
                      <w:rFonts w:ascii="仿宋_GB2312" w:hAnsi="仿宋_GB2312" w:cs="仿宋_GB2312" w:eastAsia="仿宋_GB2312"/>
                      <w:sz w:val="24"/>
                      <w:color w:val="000000"/>
                    </w:rPr>
                    <w:t>⑤</w:t>
                  </w:r>
                  <w:r>
                    <w:rPr>
                      <w:rFonts w:ascii="仿宋_GB2312" w:hAnsi="仿宋_GB2312" w:cs="仿宋_GB2312" w:eastAsia="仿宋_GB2312"/>
                      <w:sz w:val="24"/>
                      <w:color w:val="000000"/>
                    </w:rPr>
                    <w:t>空气冷却器：电机总功率</w:t>
                  </w:r>
                  <w:r>
                    <w:rPr>
                      <w:rFonts w:ascii="仿宋_GB2312" w:hAnsi="仿宋_GB2312" w:cs="仿宋_GB2312" w:eastAsia="仿宋_GB2312"/>
                      <w:sz w:val="24"/>
                      <w:color w:val="000000"/>
                    </w:rPr>
                    <w:t>≥</w:t>
                  </w:r>
                  <w:r>
                    <w:rPr>
                      <w:rFonts w:ascii="仿宋_GB2312" w:hAnsi="仿宋_GB2312" w:cs="仿宋_GB2312" w:eastAsia="仿宋_GB2312"/>
                      <w:sz w:val="24"/>
                      <w:color w:val="000000"/>
                    </w:rPr>
                    <w:t>3*550W</w:t>
                  </w:r>
                  <w:r>
                    <w:rPr>
                      <w:rFonts w:ascii="仿宋_GB2312" w:hAnsi="仿宋_GB2312" w:cs="仿宋_GB2312" w:eastAsia="仿宋_GB2312"/>
                      <w:sz w:val="24"/>
                      <w:color w:val="000000"/>
                    </w:rPr>
                    <w:t>，换热面积≥</w:t>
                  </w:r>
                  <w:r>
                    <w:rPr>
                      <w:rFonts w:ascii="仿宋_GB2312" w:hAnsi="仿宋_GB2312" w:cs="仿宋_GB2312" w:eastAsia="仿宋_GB2312"/>
                      <w:sz w:val="24"/>
                      <w:color w:val="000000"/>
                    </w:rPr>
                    <w:t>100</w:t>
                  </w:r>
                  <w:r>
                    <w:rPr>
                      <w:rFonts w:ascii="仿宋_GB2312" w:hAnsi="仿宋_GB2312" w:cs="仿宋_GB2312" w:eastAsia="仿宋_GB2312"/>
                      <w:sz w:val="24"/>
                      <w:color w:val="000000"/>
                    </w:rPr>
                    <w:t>㎡</w:t>
                  </w:r>
                  <w:r>
                    <w:rPr>
                      <w:rFonts w:ascii="仿宋_GB2312" w:hAnsi="仿宋_GB2312" w:cs="仿宋_GB2312" w:eastAsia="仿宋_GB2312"/>
                      <w:sz w:val="24"/>
                      <w:color w:val="000000"/>
                    </w:rPr>
                    <w:t>，电压</w:t>
                  </w:r>
                  <w:r>
                    <w:rPr>
                      <w:rFonts w:ascii="仿宋_GB2312" w:hAnsi="仿宋_GB2312" w:cs="仿宋_GB2312" w:eastAsia="仿宋_GB2312"/>
                      <w:sz w:val="24"/>
                      <w:color w:val="000000"/>
                    </w:rPr>
                    <w:t>380V,</w:t>
                  </w:r>
                  <w:r>
                    <w:rPr>
                      <w:rFonts w:ascii="仿宋_GB2312" w:hAnsi="仿宋_GB2312" w:cs="仿宋_GB2312" w:eastAsia="仿宋_GB2312"/>
                      <w:sz w:val="24"/>
                      <w:color w:val="000000"/>
                    </w:rPr>
                    <w:t>风机风量≥</w:t>
                  </w:r>
                  <w:r>
                    <w:rPr>
                      <w:rFonts w:ascii="仿宋_GB2312" w:hAnsi="仿宋_GB2312" w:cs="仿宋_GB2312" w:eastAsia="仿宋_GB2312"/>
                      <w:sz w:val="24"/>
                      <w:color w:val="000000"/>
                    </w:rPr>
                    <w:t>3*6000m</w:t>
                  </w:r>
                  <w:r>
                    <w:rPr>
                      <w:rFonts w:ascii="仿宋_GB2312" w:hAnsi="仿宋_GB2312" w:cs="仿宋_GB2312" w:eastAsia="仿宋_GB2312"/>
                      <w:sz w:val="24"/>
                      <w:color w:val="000000"/>
                    </w:rPr>
                    <w:t>³</w:t>
                  </w:r>
                  <w:r>
                    <w:rPr>
                      <w:rFonts w:ascii="仿宋_GB2312" w:hAnsi="仿宋_GB2312" w:cs="仿宋_GB2312" w:eastAsia="仿宋_GB2312"/>
                      <w:sz w:val="24"/>
                      <w:color w:val="000000"/>
                    </w:rPr>
                    <w:t>/h</w:t>
                  </w:r>
                  <w:r>
                    <w:rPr>
                      <w:rFonts w:ascii="仿宋_GB2312" w:hAnsi="仿宋_GB2312" w:cs="仿宋_GB2312" w:eastAsia="仿宋_GB2312"/>
                      <w:sz w:val="24"/>
                      <w:color w:val="000000"/>
                    </w:rPr>
                    <w:t>，风机风压≥</w:t>
                  </w:r>
                  <w:r>
                    <w:rPr>
                      <w:rFonts w:ascii="仿宋_GB2312" w:hAnsi="仿宋_GB2312" w:cs="仿宋_GB2312" w:eastAsia="仿宋_GB2312"/>
                      <w:sz w:val="24"/>
                      <w:color w:val="000000"/>
                    </w:rPr>
                    <w:t>92Pa</w:t>
                  </w:r>
                  <w:r>
                    <w:rPr>
                      <w:rFonts w:ascii="仿宋_GB2312" w:hAnsi="仿宋_GB2312" w:cs="仿宋_GB2312" w:eastAsia="仿宋_GB2312"/>
                      <w:sz w:val="24"/>
                      <w:color w:val="000000"/>
                    </w:rPr>
                    <w:t>，</w:t>
                  </w:r>
                </w:p>
                <w:p>
                  <w:pPr>
                    <w:pStyle w:val="null3"/>
                    <w:jc w:val="left"/>
                  </w:pPr>
                  <w:r>
                    <w:rPr>
                      <w:rFonts w:ascii="仿宋_GB2312" w:hAnsi="仿宋_GB2312" w:cs="仿宋_GB2312" w:eastAsia="仿宋_GB2312"/>
                      <w:sz w:val="24"/>
                      <w:color w:val="000000"/>
                    </w:rPr>
                    <w:t>⑥配电柜</w:t>
                  </w:r>
                  <w:r>
                    <w:rPr>
                      <w:rFonts w:ascii="仿宋_GB2312" w:hAnsi="仿宋_GB2312" w:cs="仿宋_GB2312" w:eastAsia="仿宋_GB2312"/>
                      <w:sz w:val="24"/>
                    </w:rPr>
                    <w:t>功率：</w:t>
                  </w:r>
                  <w:r>
                    <w:rPr>
                      <w:rFonts w:ascii="仿宋_GB2312" w:hAnsi="仿宋_GB2312" w:cs="仿宋_GB2312" w:eastAsia="仿宋_GB2312"/>
                      <w:sz w:val="24"/>
                    </w:rPr>
                    <w:t>≥</w:t>
                  </w:r>
                  <w:r>
                    <w:rPr>
                      <w:rFonts w:ascii="仿宋_GB2312" w:hAnsi="仿宋_GB2312" w:cs="仿宋_GB2312" w:eastAsia="仿宋_GB2312"/>
                      <w:sz w:val="24"/>
                    </w:rPr>
                    <w:t>5.5kw</w:t>
                  </w:r>
                </w:p>
              </w:tc>
            </w:tr>
          </w:tbl>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397"/>
              <w:gridCol w:w="163"/>
              <w:gridCol w:w="141"/>
              <w:gridCol w:w="1711"/>
            </w:tblGrid>
            <w:tr>
              <w:tc>
                <w:tcPr>
                  <w:tcW w:type="dxa" w:w="39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烘干</w:t>
                  </w:r>
                  <w:r>
                    <w:rPr>
                      <w:rFonts w:ascii="仿宋_GB2312" w:hAnsi="仿宋_GB2312" w:cs="仿宋_GB2312" w:eastAsia="仿宋_GB2312"/>
                      <w:sz w:val="24"/>
                    </w:rPr>
                    <w:t>房</w:t>
                  </w:r>
                </w:p>
              </w:tc>
              <w:tc>
                <w:tcPr>
                  <w:tcW w:type="dxa" w:w="16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c>
                <w:tcPr>
                  <w:tcW w:type="dxa" w:w="14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171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分体式空气源热泵烘干机组</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①制热量：≥85</w:t>
                  </w:r>
                  <w:r>
                    <w:rPr>
                      <w:rFonts w:ascii="仿宋_GB2312" w:hAnsi="仿宋_GB2312" w:cs="仿宋_GB2312" w:eastAsia="仿宋_GB2312"/>
                      <w:sz w:val="24"/>
                    </w:rPr>
                    <w:t>kw</w:t>
                  </w:r>
                </w:p>
                <w:p>
                  <w:pPr>
                    <w:pStyle w:val="null3"/>
                    <w:jc w:val="both"/>
                  </w:pPr>
                  <w:r>
                    <w:rPr>
                      <w:rFonts w:ascii="仿宋_GB2312" w:hAnsi="仿宋_GB2312" w:cs="仿宋_GB2312" w:eastAsia="仿宋_GB2312"/>
                      <w:sz w:val="24"/>
                      <w:color w:val="000000"/>
                    </w:rPr>
                    <w:t>②额定功率：≥29</w:t>
                  </w:r>
                  <w:r>
                    <w:rPr>
                      <w:rFonts w:ascii="仿宋_GB2312" w:hAnsi="仿宋_GB2312" w:cs="仿宋_GB2312" w:eastAsia="仿宋_GB2312"/>
                      <w:sz w:val="24"/>
                    </w:rPr>
                    <w:t>kw</w:t>
                  </w:r>
                </w:p>
                <w:p>
                  <w:pPr>
                    <w:pStyle w:val="null3"/>
                    <w:jc w:val="left"/>
                  </w:pPr>
                  <w:r>
                    <w:rPr>
                      <w:rFonts w:ascii="仿宋_GB2312" w:hAnsi="仿宋_GB2312" w:cs="仿宋_GB2312" w:eastAsia="仿宋_GB2312"/>
                      <w:sz w:val="24"/>
                      <w:color w:val="000000"/>
                    </w:rPr>
                    <w:t>③风机墙</w:t>
                  </w:r>
                  <w:r>
                    <w:rPr>
                      <w:rFonts w:ascii="仿宋_GB2312" w:hAnsi="仿宋_GB2312" w:cs="仿宋_GB2312" w:eastAsia="仿宋_GB2312"/>
                      <w:sz w:val="24"/>
                      <w:color w:val="000000"/>
                    </w:rPr>
                    <w:t>：</w:t>
                  </w:r>
                  <w:r>
                    <w:rPr>
                      <w:rFonts w:ascii="仿宋_GB2312" w:hAnsi="仿宋_GB2312" w:cs="仿宋_GB2312" w:eastAsia="仿宋_GB2312"/>
                      <w:sz w:val="24"/>
                    </w:rPr>
                    <w:t>长</w:t>
                  </w: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8m*</w:t>
                  </w:r>
                  <w:r>
                    <w:rPr>
                      <w:rFonts w:ascii="仿宋_GB2312" w:hAnsi="仿宋_GB2312" w:cs="仿宋_GB2312" w:eastAsia="仿宋_GB2312"/>
                      <w:sz w:val="24"/>
                    </w:rPr>
                    <w:t>高</w:t>
                  </w: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95m</w:t>
                  </w:r>
                  <w:r>
                    <w:rPr>
                      <w:rFonts w:ascii="仿宋_GB2312" w:hAnsi="仿宋_GB2312" w:cs="仿宋_GB2312" w:eastAsia="仿宋_GB2312"/>
                      <w:sz w:val="24"/>
                    </w:rPr>
                    <w:t>，材质：</w:t>
                  </w:r>
                  <w:r>
                    <w:rPr>
                      <w:rFonts w:ascii="仿宋_GB2312" w:hAnsi="仿宋_GB2312" w:cs="仿宋_GB2312" w:eastAsia="仿宋_GB2312"/>
                      <w:sz w:val="24"/>
                    </w:rPr>
                    <w:t>镀锌板</w:t>
                  </w:r>
                </w:p>
                <w:p>
                  <w:pPr>
                    <w:pStyle w:val="null3"/>
                    <w:jc w:val="left"/>
                  </w:pPr>
                  <w:r>
                    <w:rPr>
                      <w:rFonts w:ascii="仿宋_GB2312" w:hAnsi="仿宋_GB2312" w:cs="仿宋_GB2312" w:eastAsia="仿宋_GB2312"/>
                      <w:sz w:val="24"/>
                      <w:color w:val="000000"/>
                    </w:rPr>
                    <w:t>④风道隔板</w:t>
                  </w:r>
                  <w:r>
                    <w:rPr>
                      <w:rFonts w:ascii="仿宋_GB2312" w:hAnsi="仿宋_GB2312" w:cs="仿宋_GB2312" w:eastAsia="仿宋_GB2312"/>
                      <w:sz w:val="24"/>
                      <w:color w:val="000000"/>
                    </w:rPr>
                    <w:t>：</w:t>
                  </w:r>
                  <w:r>
                    <w:rPr>
                      <w:rFonts w:ascii="仿宋_GB2312" w:hAnsi="仿宋_GB2312" w:cs="仿宋_GB2312" w:eastAsia="仿宋_GB2312"/>
                      <w:sz w:val="24"/>
                    </w:rPr>
                    <w:t>长</w:t>
                  </w:r>
                  <w:r>
                    <w:rPr>
                      <w:rFonts w:ascii="仿宋_GB2312" w:hAnsi="仿宋_GB2312" w:cs="仿宋_GB2312" w:eastAsia="仿宋_GB2312"/>
                      <w:sz w:val="24"/>
                    </w:rPr>
                    <w:t>4</w:t>
                  </w:r>
                  <w:r>
                    <w:rPr>
                      <w:rFonts w:ascii="仿宋_GB2312" w:hAnsi="仿宋_GB2312" w:cs="仿宋_GB2312" w:eastAsia="仿宋_GB2312"/>
                      <w:sz w:val="24"/>
                    </w:rPr>
                    <w:t>.8</w:t>
                  </w:r>
                  <w:r>
                    <w:rPr>
                      <w:rFonts w:ascii="仿宋_GB2312" w:hAnsi="仿宋_GB2312" w:cs="仿宋_GB2312" w:eastAsia="仿宋_GB2312"/>
                      <w:sz w:val="24"/>
                    </w:rPr>
                    <w:t>m*</w:t>
                  </w:r>
                  <w:r>
                    <w:rPr>
                      <w:rFonts w:ascii="仿宋_GB2312" w:hAnsi="仿宋_GB2312" w:cs="仿宋_GB2312" w:eastAsia="仿宋_GB2312"/>
                      <w:sz w:val="24"/>
                    </w:rPr>
                    <w:t>宽</w:t>
                  </w:r>
                  <w:r>
                    <w:rPr>
                      <w:rFonts w:ascii="仿宋_GB2312" w:hAnsi="仿宋_GB2312" w:cs="仿宋_GB2312" w:eastAsia="仿宋_GB2312"/>
                      <w:sz w:val="24"/>
                    </w:rPr>
                    <w:t>4</w:t>
                  </w:r>
                  <w:r>
                    <w:rPr>
                      <w:rFonts w:ascii="仿宋_GB2312" w:hAnsi="仿宋_GB2312" w:cs="仿宋_GB2312" w:eastAsia="仿宋_GB2312"/>
                      <w:sz w:val="24"/>
                    </w:rPr>
                    <w:t>.9</w:t>
                  </w:r>
                  <w:r>
                    <w:rPr>
                      <w:rFonts w:ascii="仿宋_GB2312" w:hAnsi="仿宋_GB2312" w:cs="仿宋_GB2312" w:eastAsia="仿宋_GB2312"/>
                      <w:sz w:val="24"/>
                    </w:rPr>
                    <w:t>m</w:t>
                  </w:r>
                  <w:r>
                    <w:rPr>
                      <w:rFonts w:ascii="仿宋_GB2312" w:hAnsi="仿宋_GB2312" w:cs="仿宋_GB2312" w:eastAsia="仿宋_GB2312"/>
                      <w:sz w:val="24"/>
                    </w:rPr>
                    <w:t>，材质：</w:t>
                  </w:r>
                  <w:r>
                    <w:rPr>
                      <w:rFonts w:ascii="仿宋_GB2312" w:hAnsi="仿宋_GB2312" w:cs="仿宋_GB2312" w:eastAsia="仿宋_GB2312"/>
                      <w:sz w:val="24"/>
                    </w:rPr>
                    <w:t>50mm聚氨酯库板，双面彩钢板</w:t>
                  </w:r>
                </w:p>
                <w:p>
                  <w:pPr>
                    <w:pStyle w:val="null3"/>
                    <w:jc w:val="left"/>
                  </w:pPr>
                  <w:r>
                    <w:rPr>
                      <w:rFonts w:ascii="仿宋_GB2312" w:hAnsi="仿宋_GB2312" w:cs="仿宋_GB2312" w:eastAsia="仿宋_GB2312"/>
                      <w:sz w:val="24"/>
                      <w:color w:val="000000"/>
                    </w:rPr>
                    <w:t>⑤循环风机</w:t>
                  </w:r>
                  <w:r>
                    <w:rPr>
                      <w:rFonts w:ascii="仿宋_GB2312" w:hAnsi="仿宋_GB2312" w:cs="仿宋_GB2312" w:eastAsia="仿宋_GB2312"/>
                      <w:sz w:val="24"/>
                      <w:color w:val="000000"/>
                    </w:rPr>
                    <w:t>：</w:t>
                  </w:r>
                  <w:r>
                    <w:rPr>
                      <w:rFonts w:ascii="仿宋_GB2312" w:hAnsi="仿宋_GB2312" w:cs="仿宋_GB2312" w:eastAsia="仿宋_GB2312"/>
                      <w:sz w:val="24"/>
                    </w:rPr>
                    <w:t>7号</w:t>
                  </w:r>
                  <w:r>
                    <w:rPr>
                      <w:rFonts w:ascii="仿宋_GB2312" w:hAnsi="仿宋_GB2312" w:cs="仿宋_GB2312" w:eastAsia="仿宋_GB2312"/>
                      <w:sz w:val="24"/>
                    </w:rPr>
                    <w:t>功率</w:t>
                  </w:r>
                  <w:r>
                    <w:rPr>
                      <w:rFonts w:ascii="仿宋_GB2312" w:hAnsi="仿宋_GB2312" w:cs="仿宋_GB2312" w:eastAsia="仿宋_GB2312"/>
                      <w:sz w:val="24"/>
                    </w:rPr>
                    <w:t>≥</w:t>
                  </w:r>
                  <w:r>
                    <w:rPr>
                      <w:rFonts w:ascii="仿宋_GB2312" w:hAnsi="仿宋_GB2312" w:cs="仿宋_GB2312" w:eastAsia="仿宋_GB2312"/>
                      <w:sz w:val="24"/>
                    </w:rPr>
                    <w:t>1.5kw高温高湿轴流风机</w:t>
                  </w:r>
                </w:p>
                <w:p>
                  <w:pPr>
                    <w:pStyle w:val="null3"/>
                    <w:jc w:val="left"/>
                  </w:pPr>
                  <w:r>
                    <w:rPr>
                      <w:rFonts w:ascii="仿宋_GB2312" w:hAnsi="仿宋_GB2312" w:cs="仿宋_GB2312" w:eastAsia="仿宋_GB2312"/>
                      <w:sz w:val="24"/>
                      <w:color w:val="000000"/>
                    </w:rPr>
                    <w:t>⑥排湿风机</w:t>
                  </w:r>
                  <w:r>
                    <w:rPr>
                      <w:rFonts w:ascii="仿宋_GB2312" w:hAnsi="仿宋_GB2312" w:cs="仿宋_GB2312" w:eastAsia="仿宋_GB2312"/>
                      <w:sz w:val="24"/>
                      <w:color w:val="000000"/>
                    </w:rPr>
                    <w:t>：</w:t>
                  </w:r>
                  <w:r>
                    <w:rPr>
                      <w:rFonts w:ascii="仿宋_GB2312" w:hAnsi="仿宋_GB2312" w:cs="仿宋_GB2312" w:eastAsia="仿宋_GB2312"/>
                      <w:sz w:val="24"/>
                    </w:rPr>
                    <w:t>4</w:t>
                  </w:r>
                  <w:r>
                    <w:rPr>
                      <w:rFonts w:ascii="仿宋_GB2312" w:hAnsi="仿宋_GB2312" w:cs="仿宋_GB2312" w:eastAsia="仿宋_GB2312"/>
                      <w:sz w:val="24"/>
                    </w:rPr>
                    <w:t>号功率</w:t>
                  </w:r>
                  <w:r>
                    <w:rPr>
                      <w:rFonts w:ascii="仿宋_GB2312" w:hAnsi="仿宋_GB2312" w:cs="仿宋_GB2312" w:eastAsia="仿宋_GB2312"/>
                      <w:sz w:val="24"/>
                    </w:rPr>
                    <w:t>≥0.3</w:t>
                  </w:r>
                  <w:r>
                    <w:rPr>
                      <w:rFonts w:ascii="仿宋_GB2312" w:hAnsi="仿宋_GB2312" w:cs="仿宋_GB2312" w:eastAsia="仿宋_GB2312"/>
                      <w:sz w:val="24"/>
                    </w:rPr>
                    <w:t>5</w:t>
                  </w:r>
                  <w:r>
                    <w:rPr>
                      <w:rFonts w:ascii="仿宋_GB2312" w:hAnsi="仿宋_GB2312" w:cs="仿宋_GB2312" w:eastAsia="仿宋_GB2312"/>
                      <w:sz w:val="24"/>
                    </w:rPr>
                    <w:t>kw轴流风机</w:t>
                  </w:r>
                </w:p>
                <w:p>
                  <w:pPr>
                    <w:pStyle w:val="null3"/>
                    <w:jc w:val="left"/>
                  </w:pPr>
                  <w:r>
                    <w:rPr>
                      <w:rFonts w:ascii="仿宋_GB2312" w:hAnsi="仿宋_GB2312" w:cs="仿宋_GB2312" w:eastAsia="仿宋_GB2312"/>
                      <w:sz w:val="24"/>
                    </w:rPr>
                    <w:t>⑦</w:t>
                  </w:r>
                  <w:r>
                    <w:rPr>
                      <w:rFonts w:ascii="仿宋_GB2312" w:hAnsi="仿宋_GB2312" w:cs="仿宋_GB2312" w:eastAsia="仿宋_GB2312"/>
                      <w:sz w:val="24"/>
                    </w:rPr>
                    <w:t>脱水量：</w:t>
                  </w:r>
                  <w:r>
                    <w:rPr>
                      <w:rFonts w:ascii="仿宋_GB2312" w:hAnsi="仿宋_GB2312" w:cs="仿宋_GB2312" w:eastAsia="仿宋_GB2312"/>
                      <w:sz w:val="24"/>
                    </w:rPr>
                    <w:t>≥</w:t>
                  </w:r>
                  <w:r>
                    <w:rPr>
                      <w:rFonts w:ascii="仿宋_GB2312" w:hAnsi="仿宋_GB2312" w:cs="仿宋_GB2312" w:eastAsia="仿宋_GB2312"/>
                      <w:sz w:val="24"/>
                    </w:rPr>
                    <w:t>80kg/h</w:t>
                  </w:r>
                </w:p>
                <w:p>
                  <w:pPr>
                    <w:pStyle w:val="null3"/>
                    <w:jc w:val="left"/>
                  </w:pPr>
                  <w:r>
                    <w:rPr>
                      <w:rFonts w:ascii="仿宋_GB2312" w:hAnsi="仿宋_GB2312" w:cs="仿宋_GB2312" w:eastAsia="仿宋_GB2312"/>
                      <w:sz w:val="24"/>
                    </w:rPr>
                    <w:t>⑧</w:t>
                  </w:r>
                  <w:r>
                    <w:rPr>
                      <w:rFonts w:ascii="仿宋_GB2312" w:hAnsi="仿宋_GB2312" w:cs="仿宋_GB2312" w:eastAsia="仿宋_GB2312"/>
                      <w:sz w:val="24"/>
                    </w:rPr>
                    <w:t>烘干温度：</w:t>
                  </w:r>
                  <w:r>
                    <w:rPr>
                      <w:rFonts w:ascii="仿宋_GB2312" w:hAnsi="仿宋_GB2312" w:cs="仿宋_GB2312" w:eastAsia="仿宋_GB2312"/>
                      <w:sz w:val="24"/>
                    </w:rPr>
                    <w:t>10-75</w:t>
                  </w:r>
                  <w:r>
                    <w:rPr>
                      <w:rFonts w:ascii="仿宋_GB2312" w:hAnsi="仿宋_GB2312" w:cs="仿宋_GB2312" w:eastAsia="仿宋_GB2312"/>
                      <w:sz w:val="24"/>
                    </w:rPr>
                    <w:t>℃</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合同签订后60日历天内完成交货及安装调试完成</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合同签订十日内支付合同总金额的百分之三十（30%）</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货物安装调试完成后付至合同总金额的百分之七十（70%）</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供应商提交完相关资料，经采购人确认验收合格后付至合同总金额的百分之九十七（97%）</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27.00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其余百分之三（3%）留作为质保金（质保期一年结束后退还）。</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3.00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以招标文件及合同约定为准。验收依据：合同文本，招标文件，投标响应文件，供应商所出具的检验报告满足国家或行业规范执行标准。</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涉及的商品包装和快递包装，均应符合《商品包装政府采购需求标准》《快递包装政府采购需求标准》的要求，包装应适应于远距离运输、防潮、防震、防锈和防野蛮装卸，以确保货物安全无损运抵指定地点。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一、质量保修范围 1、非人为损坏情形：保修范围限于货物自身质量问题（如设计缺陷、制造工艺不良），因甲方使用不当（如违规操作、未按说明书维护）、不可抗力（地震、洪水）或第三方原因导致的损坏，一般不在保修范围内。 2、 附加服务：免费维修、更换零件、远程故障诊断。 二、保修期约定自验收合格签字之日起12个月；</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1.按《中华人民共和国民法典》中的相关条款执行。 2.合同签订后，如乙方擅自中途停止或解除合同，乙方应向甲方赔偿1.5倍的首次付款。 3.实施过程中，乙方未按投标文件约定配备技术人员或乙方派驻技术力量无法胜任项目实施要求的，甲方有权提出增加人员和充实技术力量，乙方应立即安排实施，其费用被认为已含在合同价格之中。如乙方拒绝增加人员或充实技术力量，甲方有权利解除合同，乙方应承担由此给甲方造成的经济损失。 4.乙方不得将本项目的任何部分转包或分包给其他任何单位和个人。若擅自转包或分包本合同标的，甲方有权解除合同，并可要求乙方偿付服务费30%的违约金，同时追究其法律责任。</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资格证明文件.pdf</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资格证明文件.pdf</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具有独立承担民事责任能力的法人、其他组织或自然人，提供合法有效年报合格的统一社会信用代码营业执照或事业单位法人证书等国家规定的相关证明，自然人参与的提供其身份证明；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资格证明文件.pdf</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年或2024年度的财务审计报告（至少包括资产负债表和利润表，成立时间至提交响应文件截止时间不足一年的可提供成立后任意时段的资产负债表），或其基本存款账户开户银行出具的近三个月的资信证明；</w:t>
            </w:r>
          </w:p>
        </w:tc>
        <w:tc>
          <w:tcPr>
            <w:tcW w:type="dxa" w:w="1661"/>
          </w:tcPr>
          <w:p>
            <w:pPr>
              <w:pStyle w:val="null3"/>
            </w:pPr>
            <w:r>
              <w:rPr>
                <w:rFonts w:ascii="仿宋_GB2312" w:hAnsi="仿宋_GB2312" w:cs="仿宋_GB2312" w:eastAsia="仿宋_GB2312"/>
              </w:rPr>
              <w:t>资格证明文件.pdf</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提供2024年度6月至今已缴纳的至少3个月的纳税证明（银行缴费凭证）或完税证明，依法免税的单位应提供相关证明材料；</w:t>
            </w:r>
          </w:p>
        </w:tc>
        <w:tc>
          <w:tcPr>
            <w:tcW w:type="dxa" w:w="1661"/>
          </w:tcPr>
          <w:p>
            <w:pPr>
              <w:pStyle w:val="null3"/>
            </w:pPr>
            <w:r>
              <w:rPr>
                <w:rFonts w:ascii="仿宋_GB2312" w:hAnsi="仿宋_GB2312" w:cs="仿宋_GB2312" w:eastAsia="仿宋_GB2312"/>
              </w:rPr>
              <w:t>资格证明文件.pdf</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社会养老保障资金缴纳证明</w:t>
            </w:r>
          </w:p>
        </w:tc>
        <w:tc>
          <w:tcPr>
            <w:tcW w:type="dxa" w:w="3322"/>
          </w:tcPr>
          <w:p>
            <w:pPr>
              <w:pStyle w:val="null3"/>
            </w:pPr>
            <w:r>
              <w:rPr>
                <w:rFonts w:ascii="仿宋_GB2312" w:hAnsi="仿宋_GB2312" w:cs="仿宋_GB2312" w:eastAsia="仿宋_GB2312"/>
              </w:rPr>
              <w:t>提供2024年度6月至今已缴存的至少3个月的社会养老保障资金银行缴费单据或社保机构开具的社会养老保险参保缴费情况证明，依法不需要缴纳社会保障资金的单位应提供相关证明材料；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资格证明文件.pdf</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提供具有履行本合同所必需的设备和专业技术能力的声明</w:t>
            </w:r>
          </w:p>
        </w:tc>
        <w:tc>
          <w:tcPr>
            <w:tcW w:type="dxa" w:w="3322"/>
          </w:tcPr>
          <w:p>
            <w:pPr>
              <w:pStyle w:val="null3"/>
            </w:pPr>
            <w:r>
              <w:rPr>
                <w:rFonts w:ascii="仿宋_GB2312" w:hAnsi="仿宋_GB2312" w:cs="仿宋_GB2312" w:eastAsia="仿宋_GB2312"/>
              </w:rPr>
              <w:t>提供声明；</w:t>
            </w:r>
          </w:p>
        </w:tc>
        <w:tc>
          <w:tcPr>
            <w:tcW w:type="dxa" w:w="1661"/>
          </w:tcPr>
          <w:p>
            <w:pPr>
              <w:pStyle w:val="null3"/>
            </w:pPr>
            <w:r>
              <w:rPr>
                <w:rFonts w:ascii="仿宋_GB2312" w:hAnsi="仿宋_GB2312" w:cs="仿宋_GB2312" w:eastAsia="仿宋_GB2312"/>
              </w:rPr>
              <w:t>资格证明文件.pdf</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法定代表人授权委托书：法定代表人参加投标的，须出示身份证；法定代表人授权他人参加投标的，须提供法定代表人授权委托书及被授权人身份证</w:t>
            </w:r>
          </w:p>
        </w:tc>
        <w:tc>
          <w:tcPr>
            <w:tcW w:type="dxa" w:w="1661"/>
          </w:tcPr>
          <w:p>
            <w:pPr>
              <w:pStyle w:val="null3"/>
            </w:pPr>
            <w:r>
              <w:rPr>
                <w:rFonts w:ascii="仿宋_GB2312" w:hAnsi="仿宋_GB2312" w:cs="仿宋_GB2312" w:eastAsia="仿宋_GB2312"/>
              </w:rPr>
              <w:t>资格证明文件.pdf</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网站截图</w:t>
            </w:r>
          </w:p>
        </w:tc>
        <w:tc>
          <w:tcPr>
            <w:tcW w:type="dxa" w:w="3322"/>
          </w:tcPr>
          <w:p>
            <w:pPr>
              <w:pStyle w:val="null3"/>
            </w:pPr>
            <w:r>
              <w:rPr>
                <w:rFonts w:ascii="仿宋_GB2312" w:hAnsi="仿宋_GB2312" w:cs="仿宋_GB2312" w:eastAsia="仿宋_GB2312"/>
              </w:rPr>
              <w:t>供应商应在投标截止日前未被列入失信被执行人、重大税收违法案件当事人名单、政府采购严重违法失信行为记录名单（处罚期限届满的除外（以“信用中国”网站（www.creditchina.gov.cn）查询结果为准）；中国政府采购网（www.ccgp.gov.cn）提供政府采购严重违法失信行为记录名单（处罚期限届满的除外）网站截图并加盖单位公章；</w:t>
            </w:r>
          </w:p>
        </w:tc>
        <w:tc>
          <w:tcPr>
            <w:tcW w:type="dxa" w:w="1661"/>
          </w:tcPr>
          <w:p>
            <w:pPr>
              <w:pStyle w:val="null3"/>
            </w:pPr>
            <w:r>
              <w:rPr>
                <w:rFonts w:ascii="仿宋_GB2312" w:hAnsi="仿宋_GB2312" w:cs="仿宋_GB2312" w:eastAsia="仿宋_GB2312"/>
              </w:rPr>
              <w:t>资格证明文件.pdf</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保证金缴纳凭据</w:t>
            </w:r>
          </w:p>
        </w:tc>
        <w:tc>
          <w:tcPr>
            <w:tcW w:type="dxa" w:w="3322"/>
          </w:tcPr>
          <w:p>
            <w:pPr>
              <w:pStyle w:val="null3"/>
            </w:pPr>
            <w:r>
              <w:rPr>
                <w:rFonts w:ascii="仿宋_GB2312" w:hAnsi="仿宋_GB2312" w:cs="仿宋_GB2312" w:eastAsia="仿宋_GB2312"/>
              </w:rPr>
              <w:t>保证金缴纳凭据提供银行转账凭证、基本存款账户信息资料复印件或金融机构、担保机构出具的保函复印件，复印件均须加盖公章；</w:t>
            </w:r>
          </w:p>
        </w:tc>
        <w:tc>
          <w:tcPr>
            <w:tcW w:type="dxa" w:w="1661"/>
          </w:tcPr>
          <w:p>
            <w:pPr>
              <w:pStyle w:val="null3"/>
            </w:pPr>
            <w:r>
              <w:rPr>
                <w:rFonts w:ascii="仿宋_GB2312" w:hAnsi="仿宋_GB2312" w:cs="仿宋_GB2312" w:eastAsia="仿宋_GB2312"/>
              </w:rPr>
              <w:t>资格证明文件.pdf</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参加政府采购活动前三年内在经营活动中没有重大违法记录的书面声明</w:t>
            </w:r>
          </w:p>
        </w:tc>
        <w:tc>
          <w:tcPr>
            <w:tcW w:type="dxa" w:w="3322"/>
          </w:tcPr>
          <w:p>
            <w:pPr>
              <w:pStyle w:val="null3"/>
            </w:pPr>
            <w:r>
              <w:rPr>
                <w:rFonts w:ascii="仿宋_GB2312" w:hAnsi="仿宋_GB2312" w:cs="仿宋_GB2312" w:eastAsia="仿宋_GB2312"/>
              </w:rPr>
              <w:t>供应商提供书面声明；</w:t>
            </w:r>
          </w:p>
        </w:tc>
        <w:tc>
          <w:tcPr>
            <w:tcW w:type="dxa" w:w="1661"/>
          </w:tcPr>
          <w:p>
            <w:pPr>
              <w:pStyle w:val="null3"/>
            </w:pPr>
            <w:r>
              <w:rPr>
                <w:rFonts w:ascii="仿宋_GB2312" w:hAnsi="仿宋_GB2312" w:cs="仿宋_GB2312" w:eastAsia="仿宋_GB2312"/>
              </w:rPr>
              <w:t>资格证明文件.pdf</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供应商企业关系关联及联合体说明</w:t>
            </w:r>
          </w:p>
        </w:tc>
        <w:tc>
          <w:tcPr>
            <w:tcW w:type="dxa" w:w="3322"/>
          </w:tcPr>
          <w:p>
            <w:pPr>
              <w:pStyle w:val="null3"/>
            </w:pPr>
            <w:r>
              <w:rPr>
                <w:rFonts w:ascii="仿宋_GB2312" w:hAnsi="仿宋_GB2312" w:cs="仿宋_GB2312" w:eastAsia="仿宋_GB2312"/>
              </w:rPr>
              <w:t>本项目不接受联合体投标，单位负责人为同一人或者存在直接控股、管理关系的不同供应商，不得同时参加本项目同一标段投标；</w:t>
            </w:r>
          </w:p>
        </w:tc>
        <w:tc>
          <w:tcPr>
            <w:tcW w:type="dxa" w:w="1661"/>
          </w:tcPr>
          <w:p>
            <w:pPr>
              <w:pStyle w:val="null3"/>
            </w:pPr>
            <w:r>
              <w:rPr>
                <w:rFonts w:ascii="仿宋_GB2312" w:hAnsi="仿宋_GB2312" w:cs="仿宋_GB2312" w:eastAsia="仿宋_GB2312"/>
              </w:rPr>
              <w:t>资格证明文件.pdf</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不专门面向中小企业采购</w:t>
            </w:r>
          </w:p>
        </w:tc>
        <w:tc>
          <w:tcPr>
            <w:tcW w:type="dxa" w:w="3322"/>
          </w:tcPr>
          <w:p>
            <w:pPr>
              <w:pStyle w:val="null3"/>
            </w:pPr>
            <w:r>
              <w:rPr>
                <w:rFonts w:ascii="仿宋_GB2312" w:hAnsi="仿宋_GB2312" w:cs="仿宋_GB2312" w:eastAsia="仿宋_GB2312"/>
              </w:rPr>
              <w:t>非专门面向中小企业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技术方案.pdf 中小企业声明函 商务应答表 业绩.pdf 投标分项报价表.docx 拒绝政府采购领域商业贿赂承诺书.pdf 投标函 残疾人福利性单位声明函 标的清单 投标文件封面 产品技术参数表.pdf 资格证明文件.pdf 其他应说明的事项.pdf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符合招标文件的签字、盖章要求</w:t>
            </w:r>
          </w:p>
        </w:tc>
        <w:tc>
          <w:tcPr>
            <w:tcW w:type="dxa" w:w="1661"/>
          </w:tcPr>
          <w:p>
            <w:pPr>
              <w:pStyle w:val="null3"/>
            </w:pPr>
            <w:r>
              <w:rPr>
                <w:rFonts w:ascii="仿宋_GB2312" w:hAnsi="仿宋_GB2312" w:cs="仿宋_GB2312" w:eastAsia="仿宋_GB2312"/>
              </w:rPr>
              <w:t>开标一览表 技术方案.pdf 中小企业声明函 商务应答表 业绩.pdf 投标分项报价表.docx 拒绝政府采购领域商业贿赂承诺书.pdf 投标函 残疾人福利性单位声明函 标的清单 投标文件封面 产品技术参数表.pdf 资格证明文件.pdf 其他应说明的事项.pdf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 超过采购预算金额和最高限价。</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投标文件内容</w:t>
            </w:r>
          </w:p>
        </w:tc>
        <w:tc>
          <w:tcPr>
            <w:tcW w:type="dxa" w:w="3322"/>
          </w:tcPr>
          <w:p>
            <w:pPr>
              <w:pStyle w:val="null3"/>
            </w:pPr>
            <w:r>
              <w:rPr>
                <w:rFonts w:ascii="仿宋_GB2312" w:hAnsi="仿宋_GB2312" w:cs="仿宋_GB2312" w:eastAsia="仿宋_GB2312"/>
              </w:rPr>
              <w:t>投标文件中项目名称、项目编号与本项目一致</w:t>
            </w:r>
          </w:p>
        </w:tc>
        <w:tc>
          <w:tcPr>
            <w:tcW w:type="dxa" w:w="1661"/>
          </w:tcPr>
          <w:p>
            <w:pPr>
              <w:pStyle w:val="null3"/>
            </w:pPr>
            <w:r>
              <w:rPr>
                <w:rFonts w:ascii="仿宋_GB2312" w:hAnsi="仿宋_GB2312" w:cs="仿宋_GB2312" w:eastAsia="仿宋_GB2312"/>
              </w:rPr>
              <w:t>开标一览表 技术方案.pdf 中小企业声明函 商务应答表 业绩.pdf 拒绝政府采购领域商业贿赂承诺书.pdf 投标函 残疾人福利性单位声明函 标的清单 投标文件封面 产品技术参数表.pdf 资格证明文件.pdf 其他应说明的事项.pdf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实质性条款响应</w:t>
            </w:r>
          </w:p>
        </w:tc>
        <w:tc>
          <w:tcPr>
            <w:tcW w:type="dxa" w:w="3322"/>
          </w:tcPr>
          <w:p>
            <w:pPr>
              <w:pStyle w:val="null3"/>
            </w:pPr>
            <w:r>
              <w:rPr>
                <w:rFonts w:ascii="仿宋_GB2312" w:hAnsi="仿宋_GB2312" w:cs="仿宋_GB2312" w:eastAsia="仿宋_GB2312"/>
              </w:rPr>
              <w:t>须完全响应招标文件采购需求中实质性条款（包括技术 参数中“★”采购数量、商务条款），且内容不得含有 采购人不能接受的附加条件。</w:t>
            </w:r>
          </w:p>
        </w:tc>
        <w:tc>
          <w:tcPr>
            <w:tcW w:type="dxa" w:w="1661"/>
          </w:tcPr>
          <w:p>
            <w:pPr>
              <w:pStyle w:val="null3"/>
            </w:pPr>
            <w:r>
              <w:rPr>
                <w:rFonts w:ascii="仿宋_GB2312" w:hAnsi="仿宋_GB2312" w:cs="仿宋_GB2312" w:eastAsia="仿宋_GB2312"/>
              </w:rPr>
              <w:t>标的清单 产品技术参数表.pdf</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应满足招标文件中的规定</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与营业执照一致</w:t>
            </w:r>
          </w:p>
        </w:tc>
        <w:tc>
          <w:tcPr>
            <w:tcW w:type="dxa" w:w="1661"/>
          </w:tcPr>
          <w:p>
            <w:pPr>
              <w:pStyle w:val="null3"/>
            </w:pPr>
            <w:r>
              <w:rPr>
                <w:rFonts w:ascii="仿宋_GB2312" w:hAnsi="仿宋_GB2312" w:cs="仿宋_GB2312" w:eastAsia="仿宋_GB2312"/>
              </w:rPr>
              <w:t>开标一览表 技术方案.pdf 中小企业声明函 商务应答表 业绩.pdf 拒绝政府采购领域商业贿赂承诺书.pdf 投标函 残疾人福利性单位声明函 标的清单 投标文件封面 产品技术参数表.pdf 资格证明文件.pdf 其他应说明的事项.pdf 监狱企业的证明文件</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技术指标和配置</w:t>
            </w:r>
          </w:p>
        </w:tc>
        <w:tc>
          <w:tcPr>
            <w:tcW w:type="dxa" w:w="2492"/>
          </w:tcPr>
          <w:p>
            <w:pPr>
              <w:pStyle w:val="null3"/>
            </w:pPr>
            <w:r>
              <w:rPr>
                <w:rFonts w:ascii="仿宋_GB2312" w:hAnsi="仿宋_GB2312" w:cs="仿宋_GB2312" w:eastAsia="仿宋_GB2312"/>
              </w:rPr>
              <w:t>所投产品技术参数清楚、明确并能逐条响应招标文件“技术参数表”中除★项外所有参数要求13项），每项负偏离扣1分，扣完为止。注：证明材料包括但不限于产品制造商授权、检测报告、产品彩页和其他证明资料等。若证明材料低于招标文件规定的相应参数时视为负偏离。</w:t>
            </w:r>
          </w:p>
        </w:tc>
        <w:tc>
          <w:tcPr>
            <w:tcW w:type="dxa" w:w="831"/>
          </w:tcPr>
          <w:p>
            <w:pPr>
              <w:pStyle w:val="null3"/>
              <w:jc w:val="right"/>
            </w:pPr>
            <w:r>
              <w:rPr>
                <w:rFonts w:ascii="仿宋_GB2312" w:hAnsi="仿宋_GB2312" w:cs="仿宋_GB2312" w:eastAsia="仿宋_GB2312"/>
              </w:rPr>
              <w:t>13.0000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技术方案.pdf</w:t>
            </w:r>
          </w:p>
          <w:p>
            <w:pPr>
              <w:pStyle w:val="null3"/>
            </w:pPr>
            <w:r>
              <w:rPr>
                <w:rFonts w:ascii="仿宋_GB2312" w:hAnsi="仿宋_GB2312" w:cs="仿宋_GB2312" w:eastAsia="仿宋_GB2312"/>
              </w:rPr>
              <w:t>产品技术参数表.pdf</w:t>
            </w:r>
          </w:p>
        </w:tc>
      </w:tr>
      <w:tr>
        <w:tc>
          <w:tcPr>
            <w:tcW w:type="dxa" w:w="831"/>
            <w:vMerge/>
          </w:tcPr>
          <w:p/>
        </w:tc>
        <w:tc>
          <w:tcPr>
            <w:tcW w:type="dxa" w:w="1661"/>
          </w:tcPr>
          <w:p>
            <w:pPr>
              <w:pStyle w:val="null3"/>
            </w:pPr>
            <w:r>
              <w:rPr>
                <w:rFonts w:ascii="仿宋_GB2312" w:hAnsi="仿宋_GB2312" w:cs="仿宋_GB2312" w:eastAsia="仿宋_GB2312"/>
              </w:rPr>
              <w:t>来源 渠道</w:t>
            </w:r>
          </w:p>
        </w:tc>
        <w:tc>
          <w:tcPr>
            <w:tcW w:type="dxa" w:w="2492"/>
          </w:tcPr>
          <w:p>
            <w:pPr>
              <w:pStyle w:val="null3"/>
            </w:pPr>
            <w:r>
              <w:rPr>
                <w:rFonts w:ascii="仿宋_GB2312" w:hAnsi="仿宋_GB2312" w:cs="仿宋_GB2312" w:eastAsia="仿宋_GB2312"/>
              </w:rPr>
              <w:t>投标人提供所投产品的合法来源渠道证明文件，满分4分，不提供不得分。以下资料提供任意一种： 1、如投标人为所投产品代理商：提供货物的合法来源渠道证明文件（例如：产品制造商授权、销售协议、代理协议等证明文件），每提供一个产品得2分，满分4分。 2、如投标人为所投产品的制造商：需提供情况说明（说明某一项产品为制造商自己生产），每提供一个产品得2分，满4分。 备注：以加盖投标人公章的证明材料复印件为计分依据。</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技术方案.pdf</w:t>
            </w:r>
          </w:p>
        </w:tc>
      </w:tr>
      <w:tr>
        <w:tc>
          <w:tcPr>
            <w:tcW w:type="dxa" w:w="831"/>
            <w:vMerge/>
          </w:tcP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一、评审内容 投标人需针对本项目提供完整的项目实施方案。内容包含：①供货组织安排②实施计划及进度计划③安装调试及验收方案④物力调配及保障措施。 二、评审标准 1、完整性：方案须全面，对评审内容中的各项要求描述详细；2、可实施性：切合本项目实际情况，实施步骤清晰、合理；3、针对性：方案能够紧扣项目实际情况，内容科学合理。 三、赋分依据（满分 18分） ①供货组织安排：每完全满足一个评审标准得 1.5 分，满分 4.5 分； ②实施计划及进度计划:每完全满足一个评审标准得 1 .5分，满分 4.5分； ③安装调试及验收方案:每完全满足一个评审标准得 1.5 分，满分4.5分； ④物力调配及保障措施：每完全满足一个评审标准得 1.5分，满分 4.5分。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技术方案.pdf</w:t>
            </w:r>
          </w:p>
        </w:tc>
      </w:tr>
      <w:tr>
        <w:tc>
          <w:tcPr>
            <w:tcW w:type="dxa" w:w="831"/>
            <w:vMerge/>
          </w:tcPr>
          <w:p/>
        </w:tc>
        <w:tc>
          <w:tcPr>
            <w:tcW w:type="dxa" w:w="1661"/>
          </w:tcPr>
          <w:p>
            <w:pPr>
              <w:pStyle w:val="null3"/>
            </w:pPr>
            <w:r>
              <w:rPr>
                <w:rFonts w:ascii="仿宋_GB2312" w:hAnsi="仿宋_GB2312" w:cs="仿宋_GB2312" w:eastAsia="仿宋_GB2312"/>
              </w:rPr>
              <w:t>质量 保证</w:t>
            </w:r>
          </w:p>
        </w:tc>
        <w:tc>
          <w:tcPr>
            <w:tcW w:type="dxa" w:w="2492"/>
          </w:tcPr>
          <w:p>
            <w:pPr>
              <w:pStyle w:val="null3"/>
            </w:pPr>
            <w:r>
              <w:rPr>
                <w:rFonts w:ascii="仿宋_GB2312" w:hAnsi="仿宋_GB2312" w:cs="仿宋_GB2312" w:eastAsia="仿宋_GB2312"/>
              </w:rPr>
              <w:t>一、评审内容 根据项目实际需求，提供质量保证方案。内容包含：①产品性能②使用寿命及效果③交货及安装时间。 二、评审标准 1、完整性：方案须全面，对评审内容中的各项要求描述详细；2、可实施性：切合本项目实际情况，实施步骤清晰、合理；3、针对性：方案能够紧扣项目实际情况，内容科学合理。 三、赋分依据（满分 12 分） ①产品性能：每完全满足一个评审标准得 1.5 分，满分 4.5 分； ②使用寿命及效果:每完全满足一个评审标准得 1.5 分，满分 4.5分； ③交货及安装时间:每完全满足一个评审标准得 1 分，满分 3 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技术方案.pdf</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提供投标人2021年1月至今（时间以合同签订时间为准）类似项目业绩，每份计2分，计满6分为止。 备注：需提供完整业绩合同或中标通知书，并加盖投标人公章。</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业绩.pdf</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一、评审内容 根据项目实际需求提供售后服务方案。内容包含：①售后服务范围及保障措施②售后服务承诺③响应时间④故障处理及补救措施。 二、评审标准 1、完整性：方案须全面，对评审内容中的各项要求描述详细；2、可实施性：切合本项目实际情况，实施步骤清晰、合理；3、针对性：方案能够紧扣项目实际情况，内容科学合理。 三、赋分依据（满分12分） ①售后服务范围及保障措施：每完全满足一个评审标准得 1 分，满分3 分； ②售后服务承诺:每完全满足一个评审标准得 1 分，满分 3 分； ③响应时间:每完全满足一个评审标准得1分，满分3分； ④故障处理及补救措施:每完全满足一个评审标准得1分，满分3分。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技术方案.pdf</w:t>
            </w:r>
          </w:p>
        </w:tc>
      </w:tr>
      <w:tr>
        <w:tc>
          <w:tcPr>
            <w:tcW w:type="dxa" w:w="831"/>
            <w:vMerge/>
          </w:tcPr>
          <w:p/>
        </w:tc>
        <w:tc>
          <w:tcPr>
            <w:tcW w:type="dxa" w:w="1661"/>
          </w:tcPr>
          <w:p>
            <w:pPr>
              <w:pStyle w:val="null3"/>
            </w:pPr>
            <w:r>
              <w:rPr>
                <w:rFonts w:ascii="仿宋_GB2312" w:hAnsi="仿宋_GB2312" w:cs="仿宋_GB2312" w:eastAsia="仿宋_GB2312"/>
              </w:rPr>
              <w:t>其它承诺</w:t>
            </w:r>
          </w:p>
        </w:tc>
        <w:tc>
          <w:tcPr>
            <w:tcW w:type="dxa" w:w="2492"/>
          </w:tcPr>
          <w:p>
            <w:pPr>
              <w:pStyle w:val="null3"/>
            </w:pPr>
            <w:r>
              <w:rPr>
                <w:rFonts w:ascii="仿宋_GB2312" w:hAnsi="仿宋_GB2312" w:cs="仿宋_GB2312" w:eastAsia="仿宋_GB2312"/>
              </w:rPr>
              <w:t>投标人针对本项目提供有利于本项目开展的其它承诺（例如：增值服务、优惠条件等），每提供一项承诺，得1分，满分3分，无承诺不得分。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技术方案.pdf</w:t>
            </w:r>
          </w:p>
        </w:tc>
      </w:tr>
      <w:tr>
        <w:tc>
          <w:tcPr>
            <w:tcW w:type="dxa" w:w="831"/>
            <w:vMerge/>
          </w:tcPr>
          <w:p/>
        </w:tc>
        <w:tc>
          <w:tcPr>
            <w:tcW w:type="dxa" w:w="1661"/>
          </w:tcPr>
          <w:p>
            <w:pPr>
              <w:pStyle w:val="null3"/>
            </w:pPr>
            <w:r>
              <w:rPr>
                <w:rFonts w:ascii="仿宋_GB2312" w:hAnsi="仿宋_GB2312" w:cs="仿宋_GB2312" w:eastAsia="仿宋_GB2312"/>
              </w:rPr>
              <w:t>商务响应</w:t>
            </w:r>
          </w:p>
        </w:tc>
        <w:tc>
          <w:tcPr>
            <w:tcW w:type="dxa" w:w="2492"/>
          </w:tcPr>
          <w:p>
            <w:pPr>
              <w:pStyle w:val="null3"/>
            </w:pPr>
            <w:r>
              <w:rPr>
                <w:rFonts w:ascii="仿宋_GB2312" w:hAnsi="仿宋_GB2312" w:cs="仿宋_GB2312" w:eastAsia="仿宋_GB2312"/>
              </w:rPr>
              <w:t>承诺质保期、供货期优于招标文件要求的，每优于一项得 1 分，最高得 2 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技术方案.pdf</w:t>
            </w:r>
          </w:p>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按照财政部《政府采购货物和服务招标投标管理办法》（财政部令第87号）的有关规定：价格分采用低价优先法计算，即满足招标文件要求且投标价格最低的投标报价为评标基准价，其价格分为满分。 其他投标人的价格分统一按照下列公式计算： 投标报价得分=（评标基准价/投标报价）×价格权值（即30%）×100（因落实政府采购政策进行价格调整的，以调整后的价格计算评标基准价和投标报价）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详见附件：产品技术参数表.pdf</w:t>
      </w:r>
    </w:p>
    <w:p>
      <w:pPr>
        <w:pStyle w:val="null3"/>
        <w:ind w:firstLine="960"/>
      </w:pPr>
      <w:r>
        <w:rPr>
          <w:rFonts w:ascii="仿宋_GB2312" w:hAnsi="仿宋_GB2312" w:cs="仿宋_GB2312" w:eastAsia="仿宋_GB2312"/>
        </w:rPr>
        <w:t>详见附件：资格证明文件.pdf</w:t>
      </w:r>
    </w:p>
    <w:p>
      <w:pPr>
        <w:pStyle w:val="null3"/>
        <w:ind w:firstLine="960"/>
      </w:pPr>
      <w:r>
        <w:rPr>
          <w:rFonts w:ascii="仿宋_GB2312" w:hAnsi="仿宋_GB2312" w:cs="仿宋_GB2312" w:eastAsia="仿宋_GB2312"/>
        </w:rPr>
        <w:t>详见附件：拒绝政府采购领域商业贿赂承诺书.pdf</w:t>
      </w:r>
    </w:p>
    <w:p>
      <w:pPr>
        <w:pStyle w:val="null3"/>
        <w:ind w:firstLine="960"/>
      </w:pPr>
      <w:r>
        <w:rPr>
          <w:rFonts w:ascii="仿宋_GB2312" w:hAnsi="仿宋_GB2312" w:cs="仿宋_GB2312" w:eastAsia="仿宋_GB2312"/>
        </w:rPr>
        <w:t>详见附件：技术方案.pdf</w:t>
      </w:r>
    </w:p>
    <w:p>
      <w:pPr>
        <w:pStyle w:val="null3"/>
        <w:ind w:firstLine="960"/>
      </w:pPr>
      <w:r>
        <w:rPr>
          <w:rFonts w:ascii="仿宋_GB2312" w:hAnsi="仿宋_GB2312" w:cs="仿宋_GB2312" w:eastAsia="仿宋_GB2312"/>
        </w:rPr>
        <w:t>详见附件：业绩.pdf</w:t>
      </w:r>
    </w:p>
    <w:p>
      <w:pPr>
        <w:pStyle w:val="null3"/>
        <w:ind w:firstLine="960"/>
      </w:pPr>
      <w:r>
        <w:rPr>
          <w:rFonts w:ascii="仿宋_GB2312" w:hAnsi="仿宋_GB2312" w:cs="仿宋_GB2312" w:eastAsia="仿宋_GB2312"/>
        </w:rPr>
        <w:t>详见附件：其他应说明的事项.pdf</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详见附件：投标分项报价表.docx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