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版本号：SXYD25-ZFCG-061920250623001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富平县高铁站周边配套给水管网项目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SXYD25-ZFCG-0619</w:t>
      </w:r>
      <w:r>
        <w:br/>
      </w:r>
      <w:r>
        <w:br/>
      </w:r>
      <w:r>
        <w:br/>
      </w:r>
    </w:p>
    <w:p>
      <w:pPr>
        <w:pStyle w:val="null3"/>
        <w:jc w:val="center"/>
        <w:outlineLvl w:val="2"/>
      </w:pPr>
      <w:r>
        <w:rPr>
          <w:rFonts w:ascii="仿宋_GB2312" w:hAnsi="仿宋_GB2312" w:cs="仿宋_GB2312" w:eastAsia="仿宋_GB2312"/>
          <w:sz w:val="28"/>
          <w:b/>
        </w:rPr>
        <w:t>富平县住房和城乡建设局（本级）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富平县住房和城乡建设局（本级）</w:t>
      </w:r>
      <w:r>
        <w:rPr>
          <w:rFonts w:ascii="仿宋_GB2312" w:hAnsi="仿宋_GB2312" w:cs="仿宋_GB2312" w:eastAsia="仿宋_GB2312"/>
        </w:rPr>
        <w:t>委托，拟对</w:t>
      </w:r>
      <w:r>
        <w:rPr>
          <w:rFonts w:ascii="仿宋_GB2312" w:hAnsi="仿宋_GB2312" w:cs="仿宋_GB2312" w:eastAsia="仿宋_GB2312"/>
        </w:rPr>
        <w:t>富平县高铁站周边配套给水管网项目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SXYD25-ZFCG-0619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富平县高铁站周边配套给水管网项目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对高铁南站周边配套给水管道进行建设，管道起点与富昌大道现状给水管道相接，终点与站前路给水管道相接，管道位于现状滨河南路南侧道路红线外3米处，管道全长约1.77公里，管道管径DN300mm，沿线设置主线阀门4处，排气阀2处、排泥阀3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采购包1（富平县高铁站周边配套给水管网项目）：属于专门面向中小企业采购。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2、法定代表人授权委托书：提供法定代表人授权委托书（附法定代表人、被授权人身份证复印件），法定代表人参会只须提供其身份证复印件</w:t>
      </w:r>
    </w:p>
    <w:p>
      <w:pPr>
        <w:pStyle w:val="null3"/>
      </w:pPr>
      <w:r>
        <w:rPr>
          <w:rFonts w:ascii="仿宋_GB2312" w:hAnsi="仿宋_GB2312" w:cs="仿宋_GB2312" w:eastAsia="仿宋_GB2312"/>
        </w:rPr>
        <w:t>3、财务报告：供应商须提供2023/2024年财务审计报告（成立时间至提交投标文件截止时间不足一年的可提供成立后任意时段的资产负债表），或其基本存款账户开户银行开标前一个月内出具的资信证明及基本存款账户开户许可证（或基本账户备案证明）；</w:t>
      </w:r>
    </w:p>
    <w:p>
      <w:pPr>
        <w:pStyle w:val="null3"/>
      </w:pPr>
      <w:r>
        <w:rPr>
          <w:rFonts w:ascii="仿宋_GB2312" w:hAnsi="仿宋_GB2312" w:cs="仿宋_GB2312" w:eastAsia="仿宋_GB2312"/>
        </w:rPr>
        <w:t>4、社会保障资金缴纳记录：须提供依法社会保障资金的良好记录：提供投标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5、税收缴纳证明：须提供依法缴纳税收的良好记录：提供投标截止时间前一年内已缴纳的至少一个月纳税凭证或完税证明，依法免税的单位应提供相关证明材料；</w:t>
      </w:r>
    </w:p>
    <w:p>
      <w:pPr>
        <w:pStyle w:val="null3"/>
      </w:pPr>
      <w:r>
        <w:rPr>
          <w:rFonts w:ascii="仿宋_GB2312" w:hAnsi="仿宋_GB2312" w:cs="仿宋_GB2312" w:eastAsia="仿宋_GB2312"/>
        </w:rPr>
        <w:t>6、无重大违法记录的书面声明：提供近三年内在经营活动中无重大违法记录的书面声明；</w:t>
      </w:r>
    </w:p>
    <w:p>
      <w:pPr>
        <w:pStyle w:val="null3"/>
      </w:pPr>
      <w:r>
        <w:rPr>
          <w:rFonts w:ascii="仿宋_GB2312" w:hAnsi="仿宋_GB2312" w:cs="仿宋_GB2312" w:eastAsia="仿宋_GB2312"/>
        </w:rPr>
        <w:t>7、控股管理关系书面说明：提供单位负责人为同一人或者存在直接控股、管理关系的不同供应商，不得参加同一合同项下的政府采购活动的书面声明；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8、专业技术能力承诺函：提供具备履行本合同所必需的设备和专业技术能力的说明及承诺。</w:t>
      </w:r>
    </w:p>
    <w:p>
      <w:pPr>
        <w:pStyle w:val="null3"/>
      </w:pPr>
      <w:r>
        <w:rPr>
          <w:rFonts w:ascii="仿宋_GB2312" w:hAnsi="仿宋_GB2312" w:cs="仿宋_GB2312" w:eastAsia="仿宋_GB2312"/>
        </w:rPr>
        <w:t>9、信用中国等网站记录查询：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10、施工资质：投标单位须具备市政公用工程施工总承包三级及以上资质；</w:t>
      </w:r>
    </w:p>
    <w:p>
      <w:pPr>
        <w:pStyle w:val="null3"/>
      </w:pPr>
      <w:r>
        <w:rPr>
          <w:rFonts w:ascii="仿宋_GB2312" w:hAnsi="仿宋_GB2312" w:cs="仿宋_GB2312" w:eastAsia="仿宋_GB2312"/>
        </w:rPr>
        <w:t>11、安全生产许可证：投标单位须具有建设行政主管部门核发有效的安全生产许可证；</w:t>
      </w:r>
    </w:p>
    <w:p>
      <w:pPr>
        <w:pStyle w:val="null3"/>
      </w:pPr>
      <w:r>
        <w:rPr>
          <w:rFonts w:ascii="仿宋_GB2312" w:hAnsi="仿宋_GB2312" w:cs="仿宋_GB2312" w:eastAsia="仿宋_GB2312"/>
        </w:rPr>
        <w:t>12、拟派项目负责人资质和专业要求：拟派项目经理具备市政公用工程专业二级及以上注册建造师资格、有效的安全生产考核合格证书（安B证），在本单位注册且无在建项目（提供承诺书）；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富平县车站大街143号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17792379649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按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富平县住房和城乡建设局（本级）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联系人：余丹</w:t>
      </w:r>
    </w:p>
    <w:p>
      <w:pPr>
        <w:pStyle w:val="null3"/>
      </w:pPr>
      <w:r>
        <w:rPr>
          <w:rFonts w:ascii="仿宋_GB2312" w:hAnsi="仿宋_GB2312" w:cs="仿宋_GB2312" w:eastAsia="仿宋_GB2312"/>
        </w:rPr>
        <w:t>联系电话：17792379649</w:t>
      </w:r>
    </w:p>
    <w:p>
      <w:pPr>
        <w:pStyle w:val="null3"/>
      </w:pPr>
      <w:r>
        <w:rPr>
          <w:rFonts w:ascii="仿宋_GB2312" w:hAnsi="仿宋_GB2312" w:cs="仿宋_GB2312" w:eastAsia="仿宋_GB2312"/>
        </w:rPr>
        <w:t>地址：富平县东华街道办事处焦村村富昌路北段西侧温泉居南邻陕西远大发展项目管理有限公司</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3,400,000.00</w:t>
      </w:r>
    </w:p>
    <w:p>
      <w:pPr>
        <w:pStyle w:val="null3"/>
      </w:pPr>
      <w:r>
        <w:rPr>
          <w:rFonts w:ascii="仿宋_GB2312" w:hAnsi="仿宋_GB2312" w:cs="仿宋_GB2312" w:eastAsia="仿宋_GB2312"/>
        </w:rPr>
        <w:t>采购包最高限价（元）: 2,955,263.66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富平县高铁站周边配套给水管网项目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标的名称：富平县高铁站周边配套给水管网项目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32"/>
                <w:b/>
              </w:rPr>
              <w:t>富平县高铁站周边配套给水管网项目</w:t>
            </w:r>
          </w:p>
          <w:p>
            <w:pPr>
              <w:pStyle w:val="null3"/>
              <w:jc w:val="center"/>
            </w:pPr>
            <w:r>
              <w:rPr>
                <w:rFonts w:ascii="仿宋_GB2312" w:hAnsi="仿宋_GB2312" w:cs="仿宋_GB2312" w:eastAsia="仿宋_GB2312"/>
                <w:sz w:val="32"/>
                <w:b/>
              </w:rPr>
              <w:t>工程量清单</w:t>
            </w:r>
            <w:r>
              <w:rPr>
                <w:rFonts w:ascii="仿宋_GB2312" w:hAnsi="仿宋_GB2312" w:cs="仿宋_GB2312" w:eastAsia="仿宋_GB2312"/>
                <w:sz w:val="32"/>
                <w:b/>
              </w:rPr>
              <w:t>编制说明</w:t>
            </w:r>
          </w:p>
          <w:p>
            <w:pPr>
              <w:pStyle w:val="null3"/>
              <w:ind w:firstLine="602"/>
              <w:jc w:val="both"/>
            </w:pPr>
            <w:r>
              <w:rPr>
                <w:rFonts w:ascii="仿宋_GB2312" w:hAnsi="仿宋_GB2312" w:cs="仿宋_GB2312" w:eastAsia="仿宋_GB2312"/>
                <w:sz w:val="30"/>
                <w:b/>
              </w:rPr>
              <w:t>一、工程概况</w:t>
            </w:r>
          </w:p>
          <w:p>
            <w:pPr>
              <w:pStyle w:val="null3"/>
              <w:ind w:firstLine="560"/>
              <w:jc w:val="left"/>
            </w:pPr>
            <w:r>
              <w:rPr>
                <w:rFonts w:ascii="仿宋_GB2312" w:hAnsi="仿宋_GB2312" w:cs="仿宋_GB2312" w:eastAsia="仿宋_GB2312"/>
                <w:sz w:val="28"/>
                <w:color w:val="000000"/>
              </w:rPr>
              <w:t>本次设计给水管道起点与富昌大道</w:t>
            </w:r>
            <w:r>
              <w:rPr>
                <w:rFonts w:ascii="仿宋_GB2312" w:hAnsi="仿宋_GB2312" w:cs="仿宋_GB2312" w:eastAsia="仿宋_GB2312"/>
                <w:sz w:val="28"/>
                <w:color w:val="000000"/>
              </w:rPr>
              <w:t>DN300mm</w:t>
            </w:r>
            <w:r>
              <w:rPr>
                <w:rFonts w:ascii="仿宋_GB2312" w:hAnsi="仿宋_GB2312" w:cs="仿宋_GB2312" w:eastAsia="仿宋_GB2312"/>
                <w:sz w:val="28"/>
                <w:color w:val="000000"/>
              </w:rPr>
              <w:t>现状给水管道相接，终点与站前路</w:t>
            </w:r>
            <w:r>
              <w:rPr>
                <w:rFonts w:ascii="仿宋_GB2312" w:hAnsi="仿宋_GB2312" w:cs="仿宋_GB2312" w:eastAsia="仿宋_GB2312"/>
                <w:sz w:val="28"/>
                <w:color w:val="000000"/>
              </w:rPr>
              <w:t>DN200mm</w:t>
            </w:r>
            <w:r>
              <w:rPr>
                <w:rFonts w:ascii="仿宋_GB2312" w:hAnsi="仿宋_GB2312" w:cs="仿宋_GB2312" w:eastAsia="仿宋_GB2312"/>
                <w:sz w:val="28"/>
                <w:color w:val="000000"/>
              </w:rPr>
              <w:t>已设计给水管道相接。设计给水管道管径</w:t>
            </w:r>
            <w:r>
              <w:rPr>
                <w:rFonts w:ascii="仿宋_GB2312" w:hAnsi="仿宋_GB2312" w:cs="仿宋_GB2312" w:eastAsia="仿宋_GB2312"/>
                <w:sz w:val="28"/>
                <w:color w:val="000000"/>
              </w:rPr>
              <w:t>DN300mm</w:t>
            </w:r>
            <w:r>
              <w:rPr>
                <w:rFonts w:ascii="仿宋_GB2312" w:hAnsi="仿宋_GB2312" w:cs="仿宋_GB2312" w:eastAsia="仿宋_GB2312"/>
                <w:sz w:val="28"/>
                <w:color w:val="000000"/>
              </w:rPr>
              <w:t>，管道长度</w:t>
            </w:r>
            <w:r>
              <w:rPr>
                <w:rFonts w:ascii="仿宋_GB2312" w:hAnsi="仿宋_GB2312" w:cs="仿宋_GB2312" w:eastAsia="仿宋_GB2312"/>
                <w:sz w:val="28"/>
                <w:color w:val="000000"/>
              </w:rPr>
              <w:t>1774.76m</w:t>
            </w:r>
            <w:r>
              <w:rPr>
                <w:rFonts w:ascii="仿宋_GB2312" w:hAnsi="仿宋_GB2312" w:cs="仿宋_GB2312" w:eastAsia="仿宋_GB2312"/>
                <w:sz w:val="28"/>
                <w:color w:val="000000"/>
              </w:rPr>
              <w:t>，沿线设置主线阀门</w:t>
            </w:r>
            <w:r>
              <w:rPr>
                <w:rFonts w:ascii="仿宋_GB2312" w:hAnsi="仿宋_GB2312" w:cs="仿宋_GB2312" w:eastAsia="仿宋_GB2312"/>
                <w:sz w:val="28"/>
                <w:color w:val="000000"/>
              </w:rPr>
              <w:t>4</w:t>
            </w:r>
            <w:r>
              <w:rPr>
                <w:rFonts w:ascii="仿宋_GB2312" w:hAnsi="仿宋_GB2312" w:cs="仿宋_GB2312" w:eastAsia="仿宋_GB2312"/>
                <w:sz w:val="28"/>
                <w:color w:val="000000"/>
              </w:rPr>
              <w:t>处，排气阀</w:t>
            </w:r>
            <w:r>
              <w:rPr>
                <w:rFonts w:ascii="仿宋_GB2312" w:hAnsi="仿宋_GB2312" w:cs="仿宋_GB2312" w:eastAsia="仿宋_GB2312"/>
                <w:sz w:val="28"/>
                <w:color w:val="000000"/>
              </w:rPr>
              <w:t>2</w:t>
            </w:r>
            <w:r>
              <w:rPr>
                <w:rFonts w:ascii="仿宋_GB2312" w:hAnsi="仿宋_GB2312" w:cs="仿宋_GB2312" w:eastAsia="仿宋_GB2312"/>
                <w:sz w:val="28"/>
                <w:color w:val="000000"/>
              </w:rPr>
              <w:t>处、排泥阀</w:t>
            </w:r>
            <w:r>
              <w:rPr>
                <w:rFonts w:ascii="仿宋_GB2312" w:hAnsi="仿宋_GB2312" w:cs="仿宋_GB2312" w:eastAsia="仿宋_GB2312"/>
                <w:sz w:val="28"/>
                <w:color w:val="000000"/>
              </w:rPr>
              <w:t>3</w:t>
            </w:r>
            <w:r>
              <w:rPr>
                <w:rFonts w:ascii="仿宋_GB2312" w:hAnsi="仿宋_GB2312" w:cs="仿宋_GB2312" w:eastAsia="仿宋_GB2312"/>
                <w:sz w:val="28"/>
                <w:color w:val="000000"/>
              </w:rPr>
              <w:t>处。给水管道位于现状滨河南路南侧道路红线外</w:t>
            </w:r>
            <w:r>
              <w:rPr>
                <w:rFonts w:ascii="仿宋_GB2312" w:hAnsi="仿宋_GB2312" w:cs="仿宋_GB2312" w:eastAsia="仿宋_GB2312"/>
                <w:sz w:val="28"/>
                <w:color w:val="000000"/>
              </w:rPr>
              <w:t>3m</w:t>
            </w:r>
            <w:r>
              <w:rPr>
                <w:rFonts w:ascii="仿宋_GB2312" w:hAnsi="仿宋_GB2312" w:cs="仿宋_GB2312" w:eastAsia="仿宋_GB2312"/>
                <w:sz w:val="28"/>
                <w:color w:val="000000"/>
              </w:rPr>
              <w:t>处。</w:t>
            </w:r>
          </w:p>
          <w:p>
            <w:pPr>
              <w:pStyle w:val="null3"/>
              <w:ind w:firstLine="602"/>
              <w:jc w:val="both"/>
            </w:pPr>
            <w:r>
              <w:rPr>
                <w:rFonts w:ascii="仿宋_GB2312" w:hAnsi="仿宋_GB2312" w:cs="仿宋_GB2312" w:eastAsia="仿宋_GB2312"/>
                <w:sz w:val="30"/>
                <w:b/>
              </w:rPr>
              <w:t>二、编制依据</w:t>
            </w:r>
          </w:p>
          <w:p>
            <w:pPr>
              <w:pStyle w:val="null3"/>
              <w:ind w:firstLine="560"/>
              <w:jc w:val="both"/>
            </w:pPr>
            <w:r>
              <w:rPr>
                <w:rFonts w:ascii="仿宋_GB2312" w:hAnsi="仿宋_GB2312" w:cs="仿宋_GB2312" w:eastAsia="仿宋_GB2312"/>
                <w:sz w:val="28"/>
              </w:rPr>
              <w:t>1.《富平县高铁站周边配套给水管网项目》施工图纸；</w:t>
            </w:r>
          </w:p>
          <w:p>
            <w:pPr>
              <w:pStyle w:val="null3"/>
              <w:ind w:firstLine="560"/>
              <w:jc w:val="both"/>
            </w:pPr>
            <w:r>
              <w:rPr>
                <w:rFonts w:ascii="仿宋_GB2312" w:hAnsi="仿宋_GB2312" w:cs="仿宋_GB2312" w:eastAsia="仿宋_GB2312"/>
                <w:sz w:val="28"/>
              </w:rPr>
              <w:t>2.2009年《陕西省建设工程工程量清单计价规则》及2009《陕西省建设工程工程量清单计价费率》；</w:t>
            </w:r>
          </w:p>
          <w:p>
            <w:pPr>
              <w:pStyle w:val="null3"/>
              <w:ind w:firstLine="560"/>
              <w:jc w:val="both"/>
            </w:pPr>
            <w:r>
              <w:rPr>
                <w:rFonts w:ascii="仿宋_GB2312" w:hAnsi="仿宋_GB2312" w:cs="仿宋_GB2312" w:eastAsia="仿宋_GB2312"/>
                <w:sz w:val="28"/>
              </w:rPr>
              <w:t>3.陕西省住房和城乡建设厅[2009]199号文件《关于印发2009陕西省建设工程工程量清单计价依据的通知》；</w:t>
            </w:r>
          </w:p>
          <w:p>
            <w:pPr>
              <w:pStyle w:val="null3"/>
              <w:ind w:firstLine="560"/>
              <w:jc w:val="both"/>
            </w:pPr>
            <w:r>
              <w:rPr>
                <w:rFonts w:ascii="仿宋_GB2312" w:hAnsi="仿宋_GB2312" w:cs="仿宋_GB2312" w:eastAsia="仿宋_GB2312"/>
                <w:sz w:val="28"/>
              </w:rPr>
              <w:t>4.扬尘治理费执行《关于增加建设工程扬尘治理专项措施费及综合人工单价调整的通知》（陕建发[2017]270号文），措施按《关于发布我省落实建筑工人实名制管理计价依据的通知》（陕建发[2019]1246号文）调整；</w:t>
            </w:r>
          </w:p>
          <w:p>
            <w:pPr>
              <w:pStyle w:val="null3"/>
              <w:ind w:firstLine="560"/>
              <w:jc w:val="both"/>
            </w:pPr>
            <w:r>
              <w:rPr>
                <w:rFonts w:ascii="仿宋_GB2312" w:hAnsi="仿宋_GB2312" w:cs="仿宋_GB2312" w:eastAsia="仿宋_GB2312"/>
                <w:sz w:val="28"/>
              </w:rPr>
              <w:t>5.规费执行陕建发[2020]1097号文件《关于建筑施工安全生产责任保险费用计价的通知》；</w:t>
            </w:r>
          </w:p>
          <w:p>
            <w:pPr>
              <w:pStyle w:val="null3"/>
              <w:ind w:firstLine="560"/>
              <w:jc w:val="both"/>
            </w:pPr>
            <w:r>
              <w:rPr>
                <w:rFonts w:ascii="仿宋_GB2312" w:hAnsi="仿宋_GB2312" w:cs="仿宋_GB2312" w:eastAsia="仿宋_GB2312"/>
                <w:sz w:val="28"/>
              </w:rPr>
              <w:t>6.劳保费用根据《陕西省住房和城乡建设厅关于全省统一停止收缴建筑业劳保费用的通知》陕建发[2021]1021号文件，不再扣除劳保费；</w:t>
            </w:r>
          </w:p>
          <w:p>
            <w:pPr>
              <w:pStyle w:val="null3"/>
              <w:ind w:firstLine="560"/>
              <w:jc w:val="both"/>
            </w:pPr>
            <w:r>
              <w:rPr>
                <w:rFonts w:ascii="仿宋_GB2312" w:hAnsi="仿宋_GB2312" w:cs="仿宋_GB2312" w:eastAsia="仿宋_GB2312"/>
                <w:sz w:val="28"/>
              </w:rPr>
              <w:t>7.税金执行陕建发[2019]45号文《关于调整我省建设工程计价依据的通知》；</w:t>
            </w:r>
          </w:p>
          <w:p>
            <w:pPr>
              <w:pStyle w:val="null3"/>
              <w:ind w:firstLine="560"/>
              <w:jc w:val="both"/>
            </w:pPr>
            <w:r>
              <w:rPr>
                <w:rFonts w:ascii="仿宋_GB2312" w:hAnsi="仿宋_GB2312" w:cs="仿宋_GB2312" w:eastAsia="仿宋_GB2312"/>
                <w:sz w:val="28"/>
              </w:rPr>
              <w:t>8.与建设工程项目有关的标准、规范、图集、技术资料；</w:t>
            </w:r>
          </w:p>
          <w:p>
            <w:pPr>
              <w:pStyle w:val="null3"/>
              <w:ind w:firstLine="560"/>
              <w:jc w:val="both"/>
            </w:pPr>
            <w:r>
              <w:rPr>
                <w:rFonts w:ascii="仿宋_GB2312" w:hAnsi="仿宋_GB2312" w:cs="仿宋_GB2312" w:eastAsia="仿宋_GB2312"/>
                <w:sz w:val="28"/>
              </w:rPr>
              <w:t>9.施工现场情况、工程特点及合理施工方案；</w:t>
            </w:r>
          </w:p>
          <w:p>
            <w:pPr>
              <w:pStyle w:val="null3"/>
              <w:ind w:firstLine="560"/>
              <w:jc w:val="both"/>
            </w:pPr>
            <w:r>
              <w:rPr>
                <w:rFonts w:ascii="仿宋_GB2312" w:hAnsi="仿宋_GB2312" w:cs="仿宋_GB2312" w:eastAsia="仿宋_GB2312"/>
                <w:sz w:val="28"/>
              </w:rPr>
              <w:t>10.其他相关资料。</w:t>
            </w:r>
          </w:p>
          <w:p>
            <w:pPr>
              <w:pStyle w:val="null3"/>
              <w:ind w:firstLine="602"/>
              <w:jc w:val="both"/>
            </w:pPr>
            <w:r>
              <w:rPr>
                <w:rFonts w:ascii="仿宋_GB2312" w:hAnsi="仿宋_GB2312" w:cs="仿宋_GB2312" w:eastAsia="仿宋_GB2312"/>
                <w:sz w:val="30"/>
                <w:b/>
              </w:rPr>
              <w:t>三、编制范围说明</w:t>
            </w:r>
          </w:p>
          <w:p>
            <w:pPr>
              <w:pStyle w:val="null3"/>
              <w:ind w:firstLine="560"/>
              <w:jc w:val="both"/>
            </w:pPr>
            <w:r>
              <w:rPr>
                <w:rFonts w:ascii="仿宋_GB2312" w:hAnsi="仿宋_GB2312" w:cs="仿宋_GB2312" w:eastAsia="仿宋_GB2312"/>
                <w:sz w:val="28"/>
              </w:rPr>
              <w:t>1.主要材料价参考渭南信息价2025年第二期富平县价格，对于富平县未有的材料价格，参考渭南市及市场价格；</w:t>
            </w:r>
          </w:p>
          <w:p>
            <w:pPr>
              <w:pStyle w:val="null3"/>
              <w:ind w:firstLine="560"/>
              <w:jc w:val="both"/>
            </w:pPr>
            <w:r>
              <w:rPr>
                <w:rFonts w:ascii="仿宋_GB2312" w:hAnsi="仿宋_GB2312" w:cs="仿宋_GB2312" w:eastAsia="仿宋_GB2312"/>
                <w:sz w:val="28"/>
              </w:rPr>
              <w:t>2.工程量清单仅描述主要特征，各投标人应依据图纸设计说明、施工图大样图、标准图集用料及做法、施工组织设计、施工验收规范、现场条件、工程特点等进行科学合理组价，所投标的综合单价招标人视为相应清单项在发包范围内的全部内容价格，结算时不予调整；</w:t>
            </w:r>
          </w:p>
          <w:p>
            <w:pPr>
              <w:pStyle w:val="null3"/>
              <w:ind w:firstLine="602"/>
              <w:jc w:val="both"/>
            </w:pPr>
            <w:r>
              <w:rPr>
                <w:rFonts w:ascii="仿宋_GB2312" w:hAnsi="仿宋_GB2312" w:cs="仿宋_GB2312" w:eastAsia="仿宋_GB2312"/>
                <w:sz w:val="30"/>
                <w:b/>
              </w:rPr>
              <w:t>四、暂列金额</w:t>
            </w:r>
          </w:p>
          <w:p>
            <w:pPr>
              <w:pStyle w:val="null3"/>
              <w:ind w:firstLine="560"/>
              <w:jc w:val="both"/>
            </w:pPr>
            <w:r>
              <w:rPr>
                <w:rFonts w:ascii="仿宋_GB2312" w:hAnsi="仿宋_GB2312" w:cs="仿宋_GB2312" w:eastAsia="仿宋_GB2312"/>
                <w:sz w:val="28"/>
              </w:rPr>
              <w:t>1.本工程暂列金额</w:t>
            </w:r>
            <w:r>
              <w:rPr>
                <w:rFonts w:ascii="仿宋_GB2312" w:hAnsi="仿宋_GB2312" w:cs="仿宋_GB2312" w:eastAsia="仿宋_GB2312"/>
                <w:sz w:val="28"/>
              </w:rPr>
              <w:t>按</w:t>
            </w:r>
            <w:r>
              <w:rPr>
                <w:rFonts w:ascii="仿宋_GB2312" w:hAnsi="仿宋_GB2312" w:cs="仿宋_GB2312" w:eastAsia="仿宋_GB2312"/>
                <w:sz w:val="28"/>
              </w:rPr>
              <w:t>25万元计取</w:t>
            </w:r>
            <w:r>
              <w:rPr>
                <w:rFonts w:ascii="仿宋_GB2312" w:hAnsi="仿宋_GB2312" w:cs="仿宋_GB2312" w:eastAsia="仿宋_GB2312"/>
                <w:sz w:val="28"/>
              </w:rPr>
              <w:t>。</w:t>
            </w:r>
          </w:p>
          <w:p>
            <w:pPr>
              <w:pStyle w:val="null3"/>
              <w:ind w:firstLine="602"/>
              <w:jc w:val="both"/>
            </w:pPr>
            <w:r>
              <w:rPr>
                <w:rFonts w:ascii="仿宋_GB2312" w:hAnsi="仿宋_GB2312" w:cs="仿宋_GB2312" w:eastAsia="仿宋_GB2312"/>
                <w:sz w:val="30"/>
                <w:b/>
              </w:rPr>
              <w:t>五、其他说明</w:t>
            </w:r>
          </w:p>
          <w:p>
            <w:pPr>
              <w:pStyle w:val="null3"/>
              <w:ind w:firstLine="560"/>
              <w:jc w:val="both"/>
            </w:pPr>
            <w:r>
              <w:rPr>
                <w:rFonts w:ascii="仿宋_GB2312" w:hAnsi="仿宋_GB2312" w:cs="仿宋_GB2312" w:eastAsia="仿宋_GB2312"/>
                <w:sz w:val="28"/>
              </w:rPr>
              <w:t>1.采用广联达计价软件版本GCCP6.0：6.4100.23.122。</w:t>
            </w:r>
          </w:p>
          <w:p>
            <w:pPr>
              <w:pStyle w:val="null3"/>
              <w:spacing w:after="120"/>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1.工期：自合同签订之日起三个月内完成竣工验收。 2.付款方式：竣工验收合格后支付额度不超过合同价款的70%，工程结算审计完成后，支付不超过审定价的97%，剩余3%作为工程质量保证金，在缺陷责任期满且达到质保要求后全部付清。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四、资格证明文件.docx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2024年财务审计报告（成立时间至提交投标文件截止时间不足一年的可提供成立后任意时段的资产负债表），或其基本存款账户开户银行开标前一个月内出具的资信证明及基本存款账户开户许可证（或基本账户备案证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四、资格证明文件.docx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提供法定代表人授权委托书（附法定代表人、被授权人身份证复印件），法定代表人参会只须提供其身份证复印件</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供应商须提供2023/2024年财务审计报告（成立时间至提交投标文件截止时间不足一年的可提供成立后任意时段的资产负债表），或其基本存款账户开户银行开标前一个月内出具的资信证明及基本存款账户开户许可证（或基本账户备案证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社会保障资金缴纳记录</w:t>
            </w:r>
          </w:p>
        </w:tc>
        <w:tc>
          <w:tcPr>
            <w:tcW w:type="dxa" w:w="3322"/>
          </w:tcPr>
          <w:p>
            <w:pPr>
              <w:pStyle w:val="null3"/>
            </w:pPr>
            <w:r>
              <w:rPr>
                <w:rFonts w:ascii="仿宋_GB2312" w:hAnsi="仿宋_GB2312" w:cs="仿宋_GB2312" w:eastAsia="仿宋_GB2312"/>
              </w:rPr>
              <w:t>须提供依法社会保障资金的良好记录：提供投标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须提供依法缴纳税收的良好记录：提供投标截止时间前一年内已缴纳的至少一个月纳税凭证或完税证明，依法免税的单位应提供相关证明材料；</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控股管理关系书面说明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专业技术能力承诺函</w:t>
            </w:r>
          </w:p>
        </w:tc>
        <w:tc>
          <w:tcPr>
            <w:tcW w:type="dxa" w:w="3322"/>
          </w:tcPr>
          <w:p>
            <w:pPr>
              <w:pStyle w:val="null3"/>
            </w:pPr>
            <w:r>
              <w:rPr>
                <w:rFonts w:ascii="仿宋_GB2312" w:hAnsi="仿宋_GB2312" w:cs="仿宋_GB2312" w:eastAsia="仿宋_GB2312"/>
              </w:rPr>
              <w:t>提供具备履行本合同所必需的设备和专业技术能力的说明及承诺。</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信用中国等网站记录查询</w:t>
            </w:r>
          </w:p>
        </w:tc>
        <w:tc>
          <w:tcPr>
            <w:tcW w:type="dxa" w:w="3322"/>
          </w:tcPr>
          <w:p>
            <w:pPr>
              <w:pStyle w:val="null3"/>
            </w:pPr>
            <w:r>
              <w:rPr>
                <w:rFonts w:ascii="仿宋_GB2312" w:hAnsi="仿宋_GB2312" w:cs="仿宋_GB2312" w:eastAsia="仿宋_GB2312"/>
              </w:rPr>
              <w:t>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投标单位须具备市政公用工程施工总承包三级及以上资质；</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投标单位须具有建设行政主管部门核发有效的安全生产许可证；</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拟派项目经理具备市政公用工程专业二级及以上注册建造师资格、有效的安全生产考核合格证书（安B证），在本单位注册且无在建项目（提供承诺书）；</w:t>
            </w:r>
          </w:p>
        </w:tc>
        <w:tc>
          <w:tcPr>
            <w:tcW w:type="dxa" w:w="1661"/>
          </w:tcPr>
          <w:p>
            <w:pPr>
              <w:pStyle w:val="null3"/>
            </w:pPr>
            <w:r>
              <w:rPr>
                <w:rFonts w:ascii="仿宋_GB2312" w:hAnsi="仿宋_GB2312" w:cs="仿宋_GB2312" w:eastAsia="仿宋_GB2312"/>
              </w:rPr>
              <w:t>五、项目管理机构组成表 四、资格证明文件.docx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标的清单 三、已标价工程量清单 二、报价函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响应文件构成是否有重大缺项，是否按照采购文件要求的格式编写响应文件。</w:t>
            </w:r>
          </w:p>
        </w:tc>
        <w:tc>
          <w:tcPr>
            <w:tcW w:type="dxa" w:w="1661"/>
          </w:tcPr>
          <w:p>
            <w:pPr>
              <w:pStyle w:val="null3"/>
            </w:pPr>
            <w:r>
              <w:rPr>
                <w:rFonts w:ascii="仿宋_GB2312" w:hAnsi="仿宋_GB2312" w:cs="仿宋_GB2312" w:eastAsia="仿宋_GB2312"/>
              </w:rPr>
              <w:t>四、资格证明文件.docx 中小企业声明函 八、供应商类似项目业绩一览表 响应文件封面 一、响应函 五、项目管理机构组成表 残疾人福利性单位声明函 标的清单 三、已标价工程量清单 二、报价函 六、主要人员简历表 七、磋商方案及施工组织设计.docx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四、资格证明文件.docx 中小企业声明函 八、供应商类似项目业绩一览表 响应文件封面 一、响应函 五、项目管理机构组成表 残疾人福利性单位声明函 标的清单 三、已标价工程量清单 二、报价函 六、主要人员简历表 七、磋商方案及施工组织设计.docx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按照磋商文件要求提供投标保证金缴纳凭证。</w:t>
            </w:r>
          </w:p>
        </w:tc>
        <w:tc>
          <w:tcPr>
            <w:tcW w:type="dxa" w:w="1661"/>
          </w:tcPr>
          <w:p>
            <w:pPr>
              <w:pStyle w:val="null3"/>
            </w:pPr>
            <w:r>
              <w:rPr>
                <w:rFonts w:ascii="仿宋_GB2312" w:hAnsi="仿宋_GB2312" w:cs="仿宋_GB2312" w:eastAsia="仿宋_GB2312"/>
              </w:rPr>
              <w:t>四、资格证明文件.docx 中小企业声明函 八、供应商类似项目业绩一览表 响应文件封面 一、响应函 五、项目管理机构组成表 残疾人福利性单位声明函 九、保证金缴纳凭证及其他有需要说明的事项.docx 标的清单 三、已标价工程量清单 二、报价函 六、主要人员简历表 七、磋商方案及施工组织设计.docx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①编制详细、较完整、切实可行的得10.1-15分； ②编制比较详细、基本可行的得5.1-10分； ③编制粗略、可行性欠缺的得1-5分；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①编制内容详细、完整的得2.1-3分； ②编制内容基本完整的得1-2分；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近三年完成的类似业绩一项得2分，最多得6分（提供2022年1月1日至今类似工程；投标文件中须附类似工程业绩中标通知书或合同协议书复印件或扫描件，并加盖公章）。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八、供应商类似项目业绩一览表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A.近三年完成的业绩一项得1分，最多得2分（2022年1月1日至今类似工程：须附工程业绩中标通知书或合同协议书复印件或扫描件，并加盖公章）； B.具有相关专业高级工程师及以上职称得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五、项目管理机构组成表</w:t>
            </w:r>
          </w:p>
          <w:p>
            <w:pPr>
              <w:pStyle w:val="null3"/>
            </w:pPr>
            <w:r>
              <w:rPr>
                <w:rFonts w:ascii="仿宋_GB2312" w:hAnsi="仿宋_GB2312" w:cs="仿宋_GB2312" w:eastAsia="仿宋_GB2312"/>
              </w:rPr>
              <w:t>八、供应商类似项目业绩一览表</w:t>
            </w:r>
          </w:p>
          <w:p>
            <w:pPr>
              <w:pStyle w:val="null3"/>
            </w:pPr>
            <w:r>
              <w:rPr>
                <w:rFonts w:ascii="仿宋_GB2312" w:hAnsi="仿宋_GB2312" w:cs="仿宋_GB2312" w:eastAsia="仿宋_GB2312"/>
              </w:rPr>
              <w:t>六、主要人员简历表</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具有相关专业高级工程师及以上职称得2分，具有工程师职称得1分；否则不得分（以职称证为准）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五、项目管理机构组成表</w:t>
            </w:r>
          </w:p>
          <w:p>
            <w:pPr>
              <w:pStyle w:val="null3"/>
            </w:pPr>
            <w:r>
              <w:rPr>
                <w:rFonts w:ascii="仿宋_GB2312" w:hAnsi="仿宋_GB2312" w:cs="仿宋_GB2312" w:eastAsia="仿宋_GB2312"/>
              </w:rPr>
              <w:t>六、主要人员简历表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具有五大员（质量员、安全员、施工员、材料员、资料员）上岗证书（安全员须含安全生产考核合格C证）的每证得2分，满分10分。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六、主要人员简历表</w:t>
            </w:r>
          </w:p>
          <w:p>
            <w:pPr>
              <w:pStyle w:val="null3"/>
            </w:pPr>
            <w:r>
              <w:rPr>
                <w:rFonts w:ascii="仿宋_GB2312" w:hAnsi="仿宋_GB2312" w:cs="仿宋_GB2312" w:eastAsia="仿宋_GB2312"/>
              </w:rPr>
              <w:t>五、项目管理机构组成表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①评标基准价的确定：经对各供应商初步审查合格后，将有效投标价格最低的作为评标基准价，此项得满分；投标报价大于预算价的，为无效报价，应作为无效标处理；最低得分为零分。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详见附件：三、已标价工程量清单</w:t>
      </w:r>
    </w:p>
    <w:p>
      <w:pPr>
        <w:pStyle w:val="null3"/>
        <w:ind w:firstLine="960"/>
      </w:pPr>
      <w:r>
        <w:rPr>
          <w:rFonts w:ascii="仿宋_GB2312" w:hAnsi="仿宋_GB2312" w:cs="仿宋_GB2312" w:eastAsia="仿宋_GB2312"/>
        </w:rPr>
        <w:t>详见附件：四、资格证明文件.docx</w:t>
      </w:r>
    </w:p>
    <w:p>
      <w:pPr>
        <w:pStyle w:val="null3"/>
        <w:ind w:firstLine="960"/>
      </w:pPr>
      <w:r>
        <w:rPr>
          <w:rFonts w:ascii="仿宋_GB2312" w:hAnsi="仿宋_GB2312" w:cs="仿宋_GB2312" w:eastAsia="仿宋_GB2312"/>
        </w:rPr>
        <w:t>详见附件：五、项目管理机构组成表</w:t>
      </w:r>
    </w:p>
    <w:p>
      <w:pPr>
        <w:pStyle w:val="null3"/>
        <w:ind w:firstLine="960"/>
      </w:pPr>
      <w:r>
        <w:rPr>
          <w:rFonts w:ascii="仿宋_GB2312" w:hAnsi="仿宋_GB2312" w:cs="仿宋_GB2312" w:eastAsia="仿宋_GB2312"/>
        </w:rPr>
        <w:t>详见附件：六、主要人员简历表</w:t>
      </w:r>
    </w:p>
    <w:p>
      <w:pPr>
        <w:pStyle w:val="null3"/>
        <w:ind w:firstLine="960"/>
      </w:pPr>
      <w:r>
        <w:rPr>
          <w:rFonts w:ascii="仿宋_GB2312" w:hAnsi="仿宋_GB2312" w:cs="仿宋_GB2312" w:eastAsia="仿宋_GB2312"/>
        </w:rPr>
        <w:t>详见附件：七、磋商方案及施工组织设计.docx</w:t>
      </w:r>
    </w:p>
    <w:p>
      <w:pPr>
        <w:pStyle w:val="null3"/>
        <w:ind w:firstLine="960"/>
      </w:pPr>
      <w:r>
        <w:rPr>
          <w:rFonts w:ascii="仿宋_GB2312" w:hAnsi="仿宋_GB2312" w:cs="仿宋_GB2312" w:eastAsia="仿宋_GB2312"/>
        </w:rPr>
        <w:t>详见附件：八、供应商类似项目业绩一览表</w:t>
      </w:r>
    </w:p>
    <w:p>
      <w:pPr>
        <w:pStyle w:val="null3"/>
        <w:ind w:firstLine="960"/>
      </w:pPr>
      <w:r>
        <w:rPr>
          <w:rFonts w:ascii="仿宋_GB2312" w:hAnsi="仿宋_GB2312" w:cs="仿宋_GB2312" w:eastAsia="仿宋_GB2312"/>
        </w:rPr>
        <w:t>详见附件：九、保证金缴纳凭证及其他有需要说明的事项.docx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