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版本号：JQ2025-ZFCG-050920250625002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2025年富平县曹村镇小贾村巷道硬化项目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JQ2025-ZFCG-0509</w:t>
      </w:r>
      <w:r>
        <w:br/>
      </w:r>
      <w:r>
        <w:br/>
      </w:r>
      <w:r>
        <w:br/>
      </w:r>
    </w:p>
    <w:p>
      <w:pPr>
        <w:pStyle w:val="null3"/>
        <w:jc w:val="center"/>
        <w:outlineLvl w:val="2"/>
      </w:pPr>
      <w:r>
        <w:rPr>
          <w:rFonts w:ascii="仿宋_GB2312" w:hAnsi="仿宋_GB2312" w:cs="仿宋_GB2312" w:eastAsia="仿宋_GB2312"/>
          <w:sz w:val="28"/>
          <w:b/>
        </w:rPr>
        <w:t>富平县曹村镇人民政府（本级）</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富平县曹村镇人民政府（本级）</w:t>
      </w:r>
      <w:r>
        <w:rPr>
          <w:rFonts w:ascii="仿宋_GB2312" w:hAnsi="仿宋_GB2312" w:cs="仿宋_GB2312" w:eastAsia="仿宋_GB2312"/>
        </w:rPr>
        <w:t>委托，拟对</w:t>
      </w:r>
      <w:r>
        <w:rPr>
          <w:rFonts w:ascii="仿宋_GB2312" w:hAnsi="仿宋_GB2312" w:cs="仿宋_GB2312" w:eastAsia="仿宋_GB2312"/>
        </w:rPr>
        <w:t>2025年富平县曹村镇小贾村巷道硬化项目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JQ2025-ZFCG-0509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2025年富平县曹村镇小贾村巷道硬化项目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混凝土硬化巷道1045㎡(150m*3m+170m*3.5m),厚度18cm;新修巷道排水150m，配建雨水篦子10个，检查井 3座:硬化混凝土道路4081㎡(1166m*3.5m)，厚度18cm，做3:7灰土路基15cm厚。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采购包1（2025年富平县曹村镇小贾村巷道硬化项目）：属于专门面向中小企业采购。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1、营业执照：有独立承担民事责任能力的法人、其他组织或自然人，提供合法有效经年检合格的统一社会信用代码营业执照</w:t>
      </w:r>
    </w:p>
    <w:p>
      <w:pPr>
        <w:pStyle w:val="null3"/>
      </w:pPr>
      <w:r>
        <w:rPr>
          <w:rFonts w:ascii="仿宋_GB2312" w:hAnsi="仿宋_GB2312" w:cs="仿宋_GB2312" w:eastAsia="仿宋_GB2312"/>
        </w:rPr>
        <w:t>2、法定代表人授权委托书：法定代表人授权委托书（附法定代表人、被授权委托人身份证复印件）及被授权委托人身份证原件（法定代表人参加投标只须提供法定代表人身份证）</w:t>
      </w:r>
    </w:p>
    <w:p>
      <w:pPr>
        <w:pStyle w:val="null3"/>
      </w:pPr>
      <w:r>
        <w:rPr>
          <w:rFonts w:ascii="仿宋_GB2312" w:hAnsi="仿宋_GB2312" w:cs="仿宋_GB2312" w:eastAsia="仿宋_GB2312"/>
        </w:rPr>
        <w:t>3、资质证书：须具备市政工程施工总承包三级及以上资质</w:t>
      </w:r>
    </w:p>
    <w:p>
      <w:pPr>
        <w:pStyle w:val="null3"/>
      </w:pPr>
      <w:r>
        <w:rPr>
          <w:rFonts w:ascii="仿宋_GB2312" w:hAnsi="仿宋_GB2312" w:cs="仿宋_GB2312" w:eastAsia="仿宋_GB2312"/>
        </w:rPr>
        <w:t>4、安全生产许可证：须具有建设行政主管部门核发有效的安全生产许可证</w:t>
      </w:r>
    </w:p>
    <w:p>
      <w:pPr>
        <w:pStyle w:val="null3"/>
      </w:pPr>
      <w:r>
        <w:rPr>
          <w:rFonts w:ascii="仿宋_GB2312" w:hAnsi="仿宋_GB2312" w:cs="仿宋_GB2312" w:eastAsia="仿宋_GB2312"/>
        </w:rPr>
        <w:t>5、项目经理：拟派项目经理须具备市政专业二级及以上（含二级）注册建造师执业资格和有效的安全生产考核证书（可提供证书复印件或有可识别的二维码证书复印件并加盖公章），且无在建工程（须提供无在建工程的相关证明材料或承诺书）</w:t>
      </w:r>
    </w:p>
    <w:p>
      <w:pPr>
        <w:pStyle w:val="null3"/>
      </w:pPr>
      <w:r>
        <w:rPr>
          <w:rFonts w:ascii="仿宋_GB2312" w:hAnsi="仿宋_GB2312" w:cs="仿宋_GB2312" w:eastAsia="仿宋_GB2312"/>
        </w:rPr>
        <w:t>6、财务审计报告或资信证明：须提供2023年或2024年经审计的财务报告（成立时间至提交投标文件截止时间不足一年的可提供成立后任意时段的财务报表）或投标文件递交截止之日前3个月内基本开户行银行出具的资信证明</w:t>
      </w:r>
    </w:p>
    <w:p>
      <w:pPr>
        <w:pStyle w:val="null3"/>
      </w:pPr>
      <w:r>
        <w:rPr>
          <w:rFonts w:ascii="仿宋_GB2312" w:hAnsi="仿宋_GB2312" w:cs="仿宋_GB2312" w:eastAsia="仿宋_GB2312"/>
        </w:rPr>
        <w:t>7、缴纳税收的良好记录：须提供依法缴纳税收的良好记录（提供投标截止时间前六个月内任意一个月份的缴费凭据复印件并加盖单位公章或其他相关证明资料）</w:t>
      </w:r>
    </w:p>
    <w:p>
      <w:pPr>
        <w:pStyle w:val="null3"/>
      </w:pPr>
      <w:r>
        <w:rPr>
          <w:rFonts w:ascii="仿宋_GB2312" w:hAnsi="仿宋_GB2312" w:cs="仿宋_GB2312" w:eastAsia="仿宋_GB2312"/>
        </w:rPr>
        <w:t>8、缴纳社会保障资金（养老保险）的良好记录：须提供依法缴纳社会保障资金（养老保险）的良好记录（提供投标截止时间前六个月内任意一个月份的缴费凭据复印件并加盖单位公章或其他相关证明资料）</w:t>
      </w:r>
    </w:p>
    <w:p>
      <w:pPr>
        <w:pStyle w:val="null3"/>
      </w:pPr>
      <w:r>
        <w:rPr>
          <w:rFonts w:ascii="仿宋_GB2312" w:hAnsi="仿宋_GB2312" w:cs="仿宋_GB2312" w:eastAsia="仿宋_GB2312"/>
        </w:rPr>
        <w:t>9、网站截图：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p>
      <w:pPr>
        <w:pStyle w:val="null3"/>
      </w:pPr>
      <w:r>
        <w:rPr>
          <w:rFonts w:ascii="仿宋_GB2312" w:hAnsi="仿宋_GB2312" w:cs="仿宋_GB2312" w:eastAsia="仿宋_GB2312"/>
        </w:rPr>
        <w:t>10、近三年内在经营活动中无重大违法记录的书面声明：提供近三年内在经营活动中无重大违法记录的书面声明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11、投标保证金转账凭证或保函：提供投标保证金转账凭证或保函复印件并加盖单位公章</w:t>
      </w:r>
    </w:p>
    <w:p>
      <w:pPr>
        <w:pStyle w:val="null3"/>
      </w:pPr>
      <w:r>
        <w:rPr>
          <w:rFonts w:ascii="仿宋_GB2312" w:hAnsi="仿宋_GB2312" w:cs="仿宋_GB2312" w:eastAsia="仿宋_GB2312"/>
        </w:rPr>
        <w:t>12、单位负责人为同一人或者存在直接控股、管理关系的不同供应商，不得参加同一合同项下的政府采购活动的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13、具有履行本合同所必需的设备和专业技术能力的说明及承诺：提供具有履行本合同所必需的设备和专业技术能力的说明及承诺</w:t>
      </w:r>
    </w:p>
    <w:p>
      <w:pPr>
        <w:pStyle w:val="null3"/>
      </w:pPr>
      <w:r>
        <w:rPr>
          <w:rFonts w:ascii="仿宋_GB2312" w:hAnsi="仿宋_GB2312" w:cs="仿宋_GB2312" w:eastAsia="仿宋_GB2312"/>
        </w:rPr>
        <w:t>14、按时足额发放农民工工资承诺函：提供按时足额发放农民工工资承诺函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富平县曹村镇人民政府（本级）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富平县曹村镇街道中段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13554600369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陕西省西安市高陵区东环路土地局家属院2幢6号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19992553730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采购包1：819,000.00元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开户名称：泾清项目管理有限公司富平分公司</w:t>
            </w:r>
          </w:p>
          <w:p>
            <w:pPr>
              <w:pStyle w:val="null3"/>
            </w:pPr>
            <w:r>
              <w:rPr>
                <w:rFonts w:ascii="仿宋_GB2312" w:hAnsi="仿宋_GB2312" w:cs="仿宋_GB2312" w:eastAsia="仿宋_GB2312"/>
              </w:rPr>
              <w:t>开户银行：中国建设银行股份有限公司富平县支行</w:t>
            </w:r>
          </w:p>
          <w:p>
            <w:pPr>
              <w:pStyle w:val="null3"/>
            </w:pPr>
            <w:r>
              <w:rPr>
                <w:rFonts w:ascii="仿宋_GB2312" w:hAnsi="仿宋_GB2312" w:cs="仿宋_GB2312" w:eastAsia="仿宋_GB2312"/>
              </w:rPr>
              <w:t>银行账号：61050164830800002007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参照国家计委关于印发《招标代理服务收费管理暂行办法》的通知（计价格〔2002〕1980号）、《国家发展和改革委员会办公厅关于招标代理服务收费有关问题的通知》（发改办价格〔2003〕857号）文件规定，代理服务费优惠后按中标价格的6‰收取。招标代理费、编制标底费不计入工程造价。由中标单位支付。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富平县曹村镇人民政府（本级）</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富平县曹村镇人民政府（本级）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富平县曹村镇人民政府（本级）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以采购文件及合同约定为准。工程质量满足国家或行业规范验收合格标准。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联系人：许倩</w:t>
      </w:r>
    </w:p>
    <w:p>
      <w:pPr>
        <w:pStyle w:val="null3"/>
      </w:pPr>
      <w:r>
        <w:rPr>
          <w:rFonts w:ascii="仿宋_GB2312" w:hAnsi="仿宋_GB2312" w:cs="仿宋_GB2312" w:eastAsia="仿宋_GB2312"/>
        </w:rPr>
        <w:t>联系电话：19992553730</w:t>
      </w:r>
    </w:p>
    <w:p>
      <w:pPr>
        <w:pStyle w:val="null3"/>
      </w:pPr>
      <w:r>
        <w:rPr>
          <w:rFonts w:ascii="仿宋_GB2312" w:hAnsi="仿宋_GB2312" w:cs="仿宋_GB2312" w:eastAsia="仿宋_GB2312"/>
        </w:rPr>
        <w:t>地址：陕西省西安市高陵区东环路土地局家属院2幢6号</w:t>
      </w:r>
    </w:p>
    <w:p>
      <w:pPr>
        <w:pStyle w:val="null3"/>
      </w:pPr>
      <w:r>
        <w:rPr>
          <w:rFonts w:ascii="仿宋_GB2312" w:hAnsi="仿宋_GB2312" w:cs="仿宋_GB2312" w:eastAsia="仿宋_GB2312"/>
        </w:rPr>
        <w:t>邮编：710200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819,000.00</w:t>
      </w:r>
    </w:p>
    <w:p>
      <w:pPr>
        <w:pStyle w:val="null3"/>
      </w:pPr>
      <w:r>
        <w:rPr>
          <w:rFonts w:ascii="仿宋_GB2312" w:hAnsi="仿宋_GB2312" w:cs="仿宋_GB2312" w:eastAsia="仿宋_GB2312"/>
        </w:rPr>
        <w:t>采购包最高限价（元）: 811,797.98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2025年富平县曹村镇小贾村巷道硬化项目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819,000.00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标的名称：2025年富平县曹村镇小贾村巷道硬化项目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混凝土硬化巷道</w:t>
            </w:r>
            <w:r>
              <w:rPr>
                <w:rFonts w:ascii="仿宋_GB2312" w:hAnsi="仿宋_GB2312" w:cs="仿宋_GB2312" w:eastAsia="仿宋_GB2312"/>
                <w:sz w:val="24"/>
                <w:color w:val="000000"/>
              </w:rPr>
              <w:t>1045</w:t>
            </w:r>
            <w:r>
              <w:rPr>
                <w:rFonts w:ascii="仿宋_GB2312" w:hAnsi="仿宋_GB2312" w:cs="仿宋_GB2312" w:eastAsia="仿宋_GB2312"/>
                <w:sz w:val="24"/>
                <w:color w:val="000000"/>
              </w:rPr>
              <w:t>㎡</w:t>
            </w:r>
            <w:r>
              <w:rPr>
                <w:rFonts w:ascii="仿宋_GB2312" w:hAnsi="仿宋_GB2312" w:cs="仿宋_GB2312" w:eastAsia="仿宋_GB2312"/>
                <w:sz w:val="24"/>
                <w:color w:val="000000"/>
              </w:rPr>
              <w:t>(150m*3m+170m*3.5m),厚度18cm;新修巷道排水150m，配建雨水篦子10个，检查井3座:硬化混凝土道路4081</w:t>
            </w:r>
            <w:r>
              <w:rPr>
                <w:rFonts w:ascii="仿宋_GB2312" w:hAnsi="仿宋_GB2312" w:cs="仿宋_GB2312" w:eastAsia="仿宋_GB2312"/>
                <w:sz w:val="24"/>
                <w:color w:val="000000"/>
              </w:rPr>
              <w:t>㎡</w:t>
            </w:r>
            <w:r>
              <w:rPr>
                <w:rFonts w:ascii="仿宋_GB2312" w:hAnsi="仿宋_GB2312" w:cs="仿宋_GB2312" w:eastAsia="仿宋_GB2312"/>
                <w:sz w:val="24"/>
                <w:color w:val="000000"/>
              </w:rPr>
              <w:t>(1166m*3.5m)，厚度18cm，做3:7灰土路基15cm厚。</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资格审查资料.docx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有独立承担民事责任能力的法人、其他组织或自然人，提供合法有效经年检合格的统一社会信用代码营业执照</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法定代表人授权委托书（附法定代表人、被授权委托人身份证复印件）及被授权委托人身份证原件（法定代表人参加投标只须提供法定代表人身份证）</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须具备市政工程施工总承包三级及以上资质</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市政专业二级及以上（含二级）注册建造师执业资格和有效的安全生产考核证书（可提供证书复印件或有可识别的二维码证书复印件并加盖公章），且无在建工程（须提供无在建工程的相关证明材料或承诺书）</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须提供2023年或2024年经审计的财务报告（成立时间至提交投标文件截止时间不足一年的可提供成立后任意时段的财务报表）或投标文件递交截止之日前3个月内基本开户行银行出具的资信证明</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缴纳税收的良好记录</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须提供依法缴纳税收的良好记录（提供投标截止时间前六个月内任意一个月份的缴费凭据复印件并加盖单位公章或其他相关证明资料）</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缴纳社会保障资金（养老保险）的良好记录</w:t>
            </w:r>
          </w:p>
        </w:tc>
        <w:tc>
          <w:tcPr>
            <w:tcW w:type="dxa" w:w="3322"/>
          </w:tcPr>
          <w:p>
            <w:pPr>
              <w:pStyle w:val="null3"/>
            </w:pPr>
            <w:r>
              <w:rPr>
                <w:rFonts w:ascii="仿宋_GB2312" w:hAnsi="仿宋_GB2312" w:cs="仿宋_GB2312" w:eastAsia="仿宋_GB2312"/>
              </w:rPr>
              <w:t>须提供依法缴纳社会保障资金（养老保险）的良好记录（提供投标截止时间前六个月内任意一个月份的缴费凭据复印件并加盖单位公章或其他相关证明资料）</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网站截图</w:t>
            </w:r>
          </w:p>
        </w:tc>
        <w:tc>
          <w:tcPr>
            <w:tcW w:type="dxa" w:w="3322"/>
          </w:tcPr>
          <w:p>
            <w:pPr>
              <w:pStyle w:val="null3"/>
            </w:pPr>
            <w:r>
              <w:rPr>
                <w:rFonts w:ascii="仿宋_GB2312" w:hAnsi="仿宋_GB2312" w:cs="仿宋_GB2312" w:eastAsia="仿宋_GB2312"/>
              </w:rPr>
              <w:t>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投标保证金转账凭证或保函</w:t>
            </w:r>
          </w:p>
        </w:tc>
        <w:tc>
          <w:tcPr>
            <w:tcW w:type="dxa" w:w="3322"/>
          </w:tcPr>
          <w:p>
            <w:pPr>
              <w:pStyle w:val="null3"/>
            </w:pPr>
            <w:r>
              <w:rPr>
                <w:rFonts w:ascii="仿宋_GB2312" w:hAnsi="仿宋_GB2312" w:cs="仿宋_GB2312" w:eastAsia="仿宋_GB2312"/>
              </w:rPr>
              <w:t>提供投标保证金转账凭证或保函复印件并加盖单位公章</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单位负责人为同一人或者存在直接控股、管理关系的不同供应商，不得参加同一合同项下的政府采购活动的书面声明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 资格审查资料.docx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按时足额发放农民工工资承诺函</w:t>
            </w:r>
          </w:p>
        </w:tc>
        <w:tc>
          <w:tcPr>
            <w:tcW w:type="dxa" w:w="3322"/>
          </w:tcPr>
          <w:p>
            <w:pPr>
              <w:pStyle w:val="null3"/>
            </w:pPr>
            <w:r>
              <w:rPr>
                <w:rFonts w:ascii="仿宋_GB2312" w:hAnsi="仿宋_GB2312" w:cs="仿宋_GB2312" w:eastAsia="仿宋_GB2312"/>
              </w:rPr>
              <w:t>提供按时足额发放农民工工资承诺函</w:t>
            </w:r>
          </w:p>
        </w:tc>
        <w:tc>
          <w:tcPr>
            <w:tcW w:type="dxa" w:w="1661"/>
          </w:tcPr>
          <w:p>
            <w:pPr>
              <w:pStyle w:val="null3"/>
            </w:pPr>
            <w:r>
              <w:rPr>
                <w:rFonts w:ascii="仿宋_GB2312" w:hAnsi="仿宋_GB2312" w:cs="仿宋_GB2312" w:eastAsia="仿宋_GB2312"/>
              </w:rPr>
              <w:t>供应商应提交的相关资格证明材料 资格审查资料.docx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资格审查资料.docx 磋商方案及施工组织设计.docx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资格审查资料.docx 磋商方案及施工组织设计.docx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磋商响应文件份数、格式</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资格审查资料.docx 磋商方案及施工组织设计.docx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已标价工程量清单 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资格审查资料.docx 磋商方案及施工组织设计.docx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磋商方案及施工组织设计.docx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供应商应提交的相关资格证明材料 资格审查资料.docx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资格审查资料.docx 磋商方案及施工组织设计.docx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资格审查资料.docx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评委根据编制的优劣程度综合评比，0-9分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评委根据编制的优劣程度综合评比，0-10分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确保工期的技术组织措施附（网络图或施工进度计划表或横道图）</w:t>
            </w:r>
          </w:p>
        </w:tc>
        <w:tc>
          <w:tcPr>
            <w:tcW w:type="dxa" w:w="2492"/>
          </w:tcPr>
          <w:p>
            <w:pPr>
              <w:pStyle w:val="null3"/>
            </w:pPr>
            <w:r>
              <w:rPr>
                <w:rFonts w:ascii="仿宋_GB2312" w:hAnsi="仿宋_GB2312" w:cs="仿宋_GB2312" w:eastAsia="仿宋_GB2312"/>
              </w:rPr>
              <w:t>评委根据编制的优劣程度综合评比，0-8分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施工方案及项目部人员组成（项目部人员应附资格证或职称证等）</w:t>
            </w:r>
          </w:p>
        </w:tc>
        <w:tc>
          <w:tcPr>
            <w:tcW w:type="dxa" w:w="2492"/>
          </w:tcPr>
          <w:p>
            <w:pPr>
              <w:pStyle w:val="null3"/>
            </w:pPr>
            <w:r>
              <w:rPr>
                <w:rFonts w:ascii="仿宋_GB2312" w:hAnsi="仿宋_GB2312" w:cs="仿宋_GB2312" w:eastAsia="仿宋_GB2312"/>
              </w:rPr>
              <w:t>评委根据编制的优劣程度综合评比，0-15分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施工机械设备配备计划及劳动力配备计划</w:t>
            </w:r>
          </w:p>
        </w:tc>
        <w:tc>
          <w:tcPr>
            <w:tcW w:type="dxa" w:w="2492"/>
          </w:tcPr>
          <w:p>
            <w:pPr>
              <w:pStyle w:val="null3"/>
            </w:pPr>
            <w:r>
              <w:rPr>
                <w:rFonts w:ascii="仿宋_GB2312" w:hAnsi="仿宋_GB2312" w:cs="仿宋_GB2312" w:eastAsia="仿宋_GB2312"/>
              </w:rPr>
              <w:t>评委根据编制的优劣程度综合评比，0-7分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近三年完成的类似业绩一项得1分，最多得3分（提供2022年1月1日至今类似工程；投标文件中须附类似工程业绩中标通知书或合同协议或竣工验收证明材料复印件或扫描件，并加盖公章）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①评标基准价的确定：经评标委员会对各供应商资格审查合格后，将有效投标价格最低的作为评标基准价，此项得满分；投标报价大于预算价的，为无效报价，应作为无效标处理；最低得分为零分。 ②根据下列公式计算出各供应商的投标报价与评标基准价的差异率。 其他供应商报价得分=(评标基准价／投标报价)×40%×100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详见附件：资格审查资料.docx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详见附件：磋商方案及施工组织设计.docx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