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D7118">
      <w:pPr>
        <w:outlineLvl w:val="9"/>
        <w:rPr>
          <w:rFonts w:ascii="宋体" w:hAnsi="宋体"/>
          <w:sz w:val="36"/>
          <w:szCs w:val="36"/>
        </w:rPr>
      </w:pPr>
      <w:r>
        <w:rPr>
          <w:rFonts w:hint="eastAsia" w:ascii="宋体" w:hAnsi="宋体"/>
          <w:sz w:val="36"/>
          <w:szCs w:val="36"/>
        </w:rPr>
        <w:t>（GF-2017-0201）</w:t>
      </w:r>
    </w:p>
    <w:p w14:paraId="7310C726">
      <w:pPr>
        <w:wordWrap w:val="0"/>
        <w:ind w:right="640"/>
        <w:jc w:val="center"/>
        <w:outlineLvl w:val="9"/>
        <w:rPr>
          <w:rFonts w:hint="eastAsia" w:ascii="仿宋_GB2312" w:eastAsia="仿宋_GB2312"/>
          <w:sz w:val="32"/>
          <w:szCs w:val="32"/>
        </w:rPr>
      </w:pPr>
      <w:r>
        <w:rPr>
          <w:rFonts w:hint="eastAsia" w:ascii="仿宋_GB2312" w:eastAsia="仿宋_GB2312"/>
          <w:sz w:val="32"/>
          <w:szCs w:val="32"/>
        </w:rPr>
        <w:t xml:space="preserve">  </w:t>
      </w:r>
    </w:p>
    <w:p w14:paraId="6208C929">
      <w:pPr>
        <w:jc w:val="center"/>
        <w:outlineLvl w:val="9"/>
        <w:rPr>
          <w:rFonts w:hint="eastAsia" w:ascii="宋体" w:hAnsi="宋体"/>
          <w:b/>
          <w:bCs/>
          <w:sz w:val="24"/>
        </w:rPr>
      </w:pPr>
      <w:r>
        <w:rPr>
          <w:rFonts w:hint="eastAsia" w:ascii="宋体" w:hAnsi="宋体"/>
          <w:b/>
          <w:bCs/>
          <w:sz w:val="52"/>
          <w:szCs w:val="52"/>
        </w:rPr>
        <w:t>建设工程施工合同</w:t>
      </w:r>
    </w:p>
    <w:p w14:paraId="74FFBE5F">
      <w:pPr>
        <w:jc w:val="center"/>
        <w:outlineLvl w:val="9"/>
        <w:rPr>
          <w:rFonts w:hint="eastAsia" w:ascii="楷体" w:hAnsi="楷体" w:eastAsia="楷体"/>
          <w:b/>
          <w:bCs/>
          <w:sz w:val="52"/>
          <w:szCs w:val="52"/>
        </w:rPr>
      </w:pPr>
      <w:r>
        <w:rPr>
          <w:rFonts w:hint="eastAsia" w:ascii="楷体" w:hAnsi="楷体" w:eastAsia="楷体"/>
          <w:b/>
          <w:bCs/>
          <w:sz w:val="52"/>
          <w:szCs w:val="52"/>
        </w:rPr>
        <w:t xml:space="preserve"> </w:t>
      </w:r>
    </w:p>
    <w:p w14:paraId="10729718">
      <w:pPr>
        <w:jc w:val="center"/>
        <w:outlineLvl w:val="9"/>
        <w:rPr>
          <w:rFonts w:hint="eastAsia" w:eastAsia="黑体"/>
          <w:b/>
          <w:bCs/>
          <w:sz w:val="72"/>
          <w:szCs w:val="72"/>
        </w:rPr>
      </w:pPr>
      <w:r>
        <w:rPr>
          <w:rFonts w:eastAsia="黑体"/>
          <w:b/>
          <w:bCs/>
          <w:sz w:val="72"/>
          <w:szCs w:val="72"/>
        </w:rPr>
        <w:t xml:space="preserve"> </w:t>
      </w:r>
    </w:p>
    <w:p w14:paraId="4DB3F435">
      <w:pPr>
        <w:jc w:val="center"/>
        <w:outlineLvl w:val="9"/>
        <w:rPr>
          <w:rFonts w:eastAsia="楷体_GB2312"/>
          <w:b/>
          <w:bCs/>
          <w:sz w:val="72"/>
          <w:szCs w:val="72"/>
        </w:rPr>
      </w:pPr>
      <w:r>
        <w:rPr>
          <w:rFonts w:eastAsia="楷体_GB2312"/>
          <w:b/>
          <w:bCs/>
          <w:sz w:val="72"/>
          <w:szCs w:val="72"/>
        </w:rPr>
        <w:t xml:space="preserve"> </w:t>
      </w:r>
    </w:p>
    <w:p w14:paraId="497B4D66">
      <w:pPr>
        <w:jc w:val="center"/>
        <w:outlineLvl w:val="9"/>
        <w:rPr>
          <w:rFonts w:eastAsia="黑体"/>
          <w:b/>
          <w:bCs/>
          <w:sz w:val="52"/>
          <w:szCs w:val="52"/>
        </w:rPr>
      </w:pPr>
      <w:r>
        <w:rPr>
          <w:rFonts w:eastAsia="黑体"/>
          <w:b/>
          <w:bCs/>
          <w:sz w:val="52"/>
          <w:szCs w:val="52"/>
        </w:rPr>
        <w:t xml:space="preserve"> </w:t>
      </w:r>
    </w:p>
    <w:p w14:paraId="2E0BA309">
      <w:pPr>
        <w:outlineLvl w:val="9"/>
        <w:rPr>
          <w:b/>
          <w:bCs/>
          <w:sz w:val="28"/>
          <w:szCs w:val="28"/>
        </w:rPr>
      </w:pPr>
      <w:r>
        <w:rPr>
          <w:b/>
          <w:bCs/>
          <w:sz w:val="28"/>
          <w:szCs w:val="28"/>
        </w:rPr>
        <w:t xml:space="preserve"> </w:t>
      </w:r>
    </w:p>
    <w:p w14:paraId="0B8E62B7">
      <w:pPr>
        <w:outlineLvl w:val="9"/>
        <w:rPr>
          <w:b/>
          <w:bCs/>
          <w:sz w:val="28"/>
          <w:szCs w:val="28"/>
        </w:rPr>
      </w:pPr>
      <w:r>
        <w:rPr>
          <w:b/>
          <w:bCs/>
          <w:sz w:val="28"/>
          <w:szCs w:val="28"/>
        </w:rPr>
        <w:t xml:space="preserve"> </w:t>
      </w:r>
    </w:p>
    <w:p w14:paraId="1214F6D6">
      <w:pPr>
        <w:pStyle w:val="16"/>
        <w:ind w:left="0" w:leftChars="0" w:firstLine="0" w:firstLineChars="0"/>
      </w:pPr>
    </w:p>
    <w:p w14:paraId="32677F9B"/>
    <w:p w14:paraId="10D336CD"/>
    <w:p w14:paraId="467E4CBD"/>
    <w:p w14:paraId="08976040"/>
    <w:p w14:paraId="32B14128">
      <w:pPr>
        <w:ind w:right="3626" w:rightChars="1295"/>
        <w:jc w:val="distribute"/>
        <w:outlineLvl w:val="9"/>
        <w:rPr>
          <w:rFonts w:ascii="宋体" w:hAnsi="宋体"/>
          <w:b/>
          <w:color w:val="000000"/>
          <w:sz w:val="32"/>
          <w:szCs w:val="28"/>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3769995</wp:posOffset>
                </wp:positionH>
                <wp:positionV relativeFrom="paragraph">
                  <wp:posOffset>120015</wp:posOffset>
                </wp:positionV>
                <wp:extent cx="772160" cy="600075"/>
                <wp:effectExtent l="4445" t="4445" r="23495" b="5080"/>
                <wp:wrapNone/>
                <wp:docPr id="5" name="文本框 5"/>
                <wp:cNvGraphicFramePr/>
                <a:graphic xmlns:a="http://schemas.openxmlformats.org/drawingml/2006/main">
                  <a:graphicData uri="http://schemas.microsoft.com/office/word/2010/wordprocessingShape">
                    <wps:wsp>
                      <wps:cNvSpPr txBox="1"/>
                      <wps:spPr>
                        <a:xfrm>
                          <a:off x="0" y="0"/>
                          <a:ext cx="772160" cy="600075"/>
                        </a:xfrm>
                        <a:prstGeom prst="rect">
                          <a:avLst/>
                        </a:prstGeom>
                        <a:noFill/>
                        <a:ln w="9525" cap="flat" cmpd="sng">
                          <a:solidFill>
                            <a:srgbClr val="FFFFFF"/>
                          </a:solidFill>
                          <a:prstDash val="solid"/>
                          <a:miter/>
                          <a:headEnd type="none" w="med" len="med"/>
                          <a:tailEnd type="none" w="med" len="med"/>
                        </a:ln>
                      </wps:spPr>
                      <wps:txbx>
                        <w:txbxContent>
                          <w:p w14:paraId="70FAA963">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6.85pt;margin-top:9.45pt;height:47.25pt;width:60.8pt;z-index:251659264;mso-width-relative:page;mso-height-relative:page;" filled="f" stroked="t" coordsize="21600,21600" o:gfxdata="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Jk9mtoAAAAKAQAADwAAAAAAAAABACAAAAAiAAAA&#10;ZHJzL2Rvd25yZXYueG1sUEsBAhQAFAAAAAgAh07iQB3HONgFAgAADAQAAA4AAAAAAAAAAQAgAAAA&#10;KQEAAGRycy9lMm9Eb2MueG1sUEsFBgAAAAAGAAYAWQEAAKAFAAAAAA==&#10;">
                <v:fill on="f" focussize="0,0"/>
                <v:stroke color="#FFFFFF" joinstyle="miter"/>
                <v:imagedata o:title=""/>
                <o:lock v:ext="edit" aspectratio="f"/>
                <v:textbox>
                  <w:txbxContent>
                    <w:p w14:paraId="70FAA963">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b/>
          <w:color w:val="000000"/>
          <w:sz w:val="32"/>
          <w:szCs w:val="28"/>
          <w:lang w:val="en-US" w:eastAsia="zh-CN"/>
        </w:rPr>
        <w:t xml:space="preserve">        </w:t>
      </w:r>
      <w:r>
        <w:rPr>
          <w:rFonts w:ascii="宋体" w:hAnsi="宋体"/>
          <w:b/>
          <w:color w:val="000000"/>
          <w:sz w:val="32"/>
          <w:szCs w:val="28"/>
        </w:rPr>
        <w:t>住房和城乡建设部</w:t>
      </w:r>
    </w:p>
    <w:p w14:paraId="53ADC591">
      <w:pPr>
        <w:ind w:right="3626" w:rightChars="1295"/>
        <w:jc w:val="distribute"/>
        <w:outlineLvl w:val="9"/>
        <w:rPr>
          <w:rFonts w:hint="eastAsia" w:ascii="宋体" w:hAnsi="宋体" w:eastAsia="宋体" w:cs="宋体"/>
          <w:b w:val="0"/>
          <w:bCs/>
          <w:sz w:val="32"/>
          <w:szCs w:val="32"/>
          <w:lang w:val="zh-CN"/>
        </w:rPr>
      </w:pPr>
      <w:r>
        <w:rPr>
          <w:rFonts w:hint="eastAsia" w:ascii="宋体" w:hAnsi="宋体"/>
          <w:b/>
          <w:color w:val="000000"/>
          <w:sz w:val="32"/>
          <w:szCs w:val="28"/>
          <w:lang w:val="en-US" w:eastAsia="zh-CN"/>
        </w:rPr>
        <w:t xml:space="preserve">        </w:t>
      </w:r>
      <w:r>
        <w:rPr>
          <w:rFonts w:ascii="宋体" w:hAnsi="宋体"/>
          <w:b/>
          <w:color w:val="000000"/>
          <w:sz w:val="32"/>
          <w:szCs w:val="28"/>
        </w:rPr>
        <w:t>国家工商行政管理总局</w:t>
      </w:r>
      <w:bookmarkStart w:id="0" w:name="_Toc13338"/>
      <w:bookmarkStart w:id="1" w:name="_Toc2552"/>
    </w:p>
    <w:p w14:paraId="0E828E64">
      <w:pPr>
        <w:pStyle w:val="29"/>
        <w:spacing w:before="0" w:after="0" w:line="500" w:lineRule="exact"/>
        <w:jc w:val="center"/>
        <w:rPr>
          <w:rFonts w:hint="eastAsia" w:ascii="宋体" w:hAnsi="宋体" w:eastAsia="宋体" w:cs="宋体"/>
          <w:b w:val="0"/>
          <w:bCs/>
          <w:sz w:val="32"/>
          <w:szCs w:val="32"/>
          <w:lang w:val="zh-CN"/>
        </w:rPr>
      </w:pPr>
      <w:r>
        <w:rPr>
          <w:rFonts w:hint="eastAsia" w:ascii="宋体" w:hAnsi="宋体" w:eastAsia="宋体" w:cs="宋体"/>
          <w:b w:val="0"/>
          <w:bCs/>
          <w:sz w:val="32"/>
          <w:szCs w:val="32"/>
          <w:lang w:val="zh-CN"/>
        </w:rPr>
        <w:t>说  明</w:t>
      </w:r>
      <w:bookmarkEnd w:id="0"/>
      <w:bookmarkEnd w:id="1"/>
    </w:p>
    <w:p w14:paraId="5B25AA9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val="en-US"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56877BC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7FE0C63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2E80619B">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55FA8D4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25E1E5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15FC013B">
      <w:pPr>
        <w:spacing w:line="500" w:lineRule="exact"/>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rPr>
        <w:t>通用合同条款是合同当事人根据《中华人民共和国建筑</w:t>
      </w:r>
      <w:r>
        <w:rPr>
          <w:rFonts w:hint="eastAsia" w:ascii="宋体" w:hAnsi="宋体" w:eastAsia="宋体" w:cs="宋体"/>
          <w:b w:val="0"/>
          <w:bCs/>
          <w:sz w:val="24"/>
          <w:highlight w:val="none"/>
        </w:rPr>
        <w:t>法》、《中华人民共和国</w:t>
      </w:r>
      <w:r>
        <w:rPr>
          <w:rFonts w:hint="eastAsia" w:ascii="宋体" w:hAnsi="宋体" w:cs="宋体"/>
          <w:b w:val="0"/>
          <w:bCs/>
          <w:sz w:val="24"/>
          <w:highlight w:val="none"/>
          <w:lang w:val="en-US" w:eastAsia="zh-CN"/>
        </w:rPr>
        <w:t>民法典</w:t>
      </w:r>
      <w:r>
        <w:rPr>
          <w:rFonts w:hint="eastAsia" w:ascii="宋体" w:hAnsi="宋体" w:eastAsia="宋体" w:cs="宋体"/>
          <w:b w:val="0"/>
          <w:bCs/>
          <w:sz w:val="24"/>
          <w:highlight w:val="none"/>
        </w:rPr>
        <w:t>》等法律法规的规定，就工程建设的实施及相关事项，对合同当事人的权利义务作出的原则性约定。</w:t>
      </w:r>
    </w:p>
    <w:p w14:paraId="651A9C5E">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4523B2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146E60A">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BDA3115">
      <w:pPr>
        <w:spacing w:line="500" w:lineRule="exact"/>
        <w:ind w:right="34"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3964A5F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5A02BA53">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4F2BE14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6CA74F5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w:t>
      </w:r>
      <w:r>
        <w:rPr>
          <w:rFonts w:hint="eastAsia" w:ascii="宋体" w:hAnsi="宋体" w:cs="宋体"/>
          <w:b w:val="0"/>
          <w:bCs/>
          <w:sz w:val="24"/>
          <w:lang w:eastAsia="zh-CN"/>
        </w:rPr>
        <w:t>建筑工程或市政公用工程</w:t>
      </w:r>
      <w:r>
        <w:rPr>
          <w:rFonts w:hint="eastAsia" w:ascii="宋体" w:hAnsi="宋体" w:eastAsia="宋体" w:cs="宋体"/>
          <w:b w:val="0"/>
          <w:bCs/>
          <w:sz w:val="24"/>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9401EEB">
      <w:pPr>
        <w:spacing w:line="500" w:lineRule="exact"/>
        <w:ind w:firstLine="480" w:firstLineChars="200"/>
        <w:rPr>
          <w:rFonts w:hint="eastAsia" w:ascii="宋体" w:hAnsi="宋体" w:eastAsia="宋体" w:cs="宋体"/>
          <w:b w:val="0"/>
          <w:bCs/>
          <w:sz w:val="24"/>
        </w:rPr>
      </w:pPr>
    </w:p>
    <w:p w14:paraId="7C9CE591">
      <w:pPr>
        <w:spacing w:line="500" w:lineRule="exact"/>
        <w:ind w:firstLine="480" w:firstLineChars="200"/>
        <w:rPr>
          <w:rFonts w:hint="eastAsia" w:ascii="宋体" w:hAnsi="宋体" w:eastAsia="宋体" w:cs="宋体"/>
          <w:b w:val="0"/>
          <w:bCs/>
          <w:sz w:val="24"/>
        </w:rPr>
      </w:pPr>
    </w:p>
    <w:p w14:paraId="776A0312">
      <w:pPr>
        <w:jc w:val="center"/>
        <w:rPr>
          <w:rFonts w:hint="eastAsia" w:ascii="宋体" w:hAnsi="宋体" w:eastAsia="宋体" w:cs="宋体"/>
          <w:b w:val="0"/>
          <w:bCs/>
          <w:color w:val="auto"/>
          <w:sz w:val="32"/>
          <w:szCs w:val="32"/>
        </w:rPr>
      </w:pPr>
    </w:p>
    <w:p w14:paraId="64BC181D">
      <w:pPr>
        <w:pStyle w:val="18"/>
        <w:rPr>
          <w:rFonts w:hint="eastAsia" w:ascii="宋体" w:hAnsi="宋体" w:eastAsia="宋体" w:cs="宋体"/>
          <w:b w:val="0"/>
          <w:bCs/>
          <w:color w:val="auto"/>
          <w:sz w:val="32"/>
          <w:szCs w:val="32"/>
        </w:rPr>
      </w:pPr>
    </w:p>
    <w:p w14:paraId="0FB96D8E">
      <w:pPr>
        <w:pStyle w:val="16"/>
        <w:rPr>
          <w:rFonts w:hint="eastAsia" w:ascii="宋体" w:hAnsi="宋体" w:eastAsia="宋体" w:cs="宋体"/>
          <w:b w:val="0"/>
          <w:bCs/>
          <w:color w:val="auto"/>
          <w:sz w:val="32"/>
          <w:szCs w:val="32"/>
        </w:rPr>
      </w:pPr>
    </w:p>
    <w:p w14:paraId="274F9D8A">
      <w:pPr>
        <w:rPr>
          <w:rFonts w:hint="eastAsia" w:ascii="宋体" w:hAnsi="宋体" w:eastAsia="宋体" w:cs="宋体"/>
          <w:b w:val="0"/>
          <w:bCs/>
          <w:color w:val="auto"/>
          <w:sz w:val="32"/>
          <w:szCs w:val="32"/>
        </w:rPr>
      </w:pPr>
    </w:p>
    <w:p w14:paraId="251EE71E">
      <w:pPr>
        <w:pStyle w:val="18"/>
        <w:rPr>
          <w:rFonts w:hint="eastAsia"/>
        </w:rPr>
      </w:pPr>
    </w:p>
    <w:p w14:paraId="286E48B0">
      <w:pPr>
        <w:pStyle w:val="16"/>
        <w:rPr>
          <w:rFonts w:hint="eastAsia"/>
        </w:rPr>
      </w:pPr>
    </w:p>
    <w:p w14:paraId="41E8D044">
      <w:pPr>
        <w:rPr>
          <w:rFonts w:hint="eastAsia" w:ascii="宋体" w:hAnsi="宋体" w:eastAsia="宋体" w:cs="宋体"/>
          <w:b w:val="0"/>
          <w:bCs/>
          <w:color w:val="auto"/>
          <w:sz w:val="32"/>
          <w:szCs w:val="32"/>
        </w:rPr>
      </w:pPr>
      <w:r>
        <w:rPr>
          <w:rFonts w:hint="eastAsia" w:ascii="宋体" w:hAnsi="宋体" w:eastAsia="宋体" w:cs="宋体"/>
          <w:b w:val="0"/>
          <w:bCs/>
          <w:color w:val="auto"/>
          <w:sz w:val="32"/>
          <w:szCs w:val="32"/>
        </w:rPr>
        <w:br w:type="page"/>
      </w:r>
    </w:p>
    <w:p w14:paraId="66E99288">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 w:val="0"/>
          <w:bCs/>
          <w:sz w:val="32"/>
          <w:szCs w:val="32"/>
        </w:rPr>
      </w:pPr>
      <w:r>
        <w:rPr>
          <w:rFonts w:hint="eastAsia" w:ascii="宋体" w:hAnsi="宋体" w:eastAsia="宋体" w:cs="宋体"/>
          <w:b w:val="0"/>
          <w:bCs/>
          <w:color w:val="auto"/>
          <w:sz w:val="32"/>
          <w:szCs w:val="32"/>
        </w:rPr>
        <w:t>第一部分 合同协议书</w:t>
      </w:r>
    </w:p>
    <w:p w14:paraId="569A4C86">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发包人（全称）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 </w:t>
      </w:r>
    </w:p>
    <w:p w14:paraId="6D22BBB2">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承包人（全称）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lang w:eastAsia="zh-CN"/>
        </w:rPr>
        <w:t></w:t>
      </w:r>
      <w:r>
        <w:rPr>
          <w:rFonts w:hint="eastAsia" w:ascii="宋体" w:hAnsi="宋体" w:eastAsia="宋体" w:cs="宋体"/>
          <w:b w:val="0"/>
          <w:bCs/>
          <w:sz w:val="24"/>
          <w:u w:val="single"/>
        </w:rPr>
        <w:t xml:space="preserve">  </w:t>
      </w:r>
    </w:p>
    <w:p w14:paraId="1C646584">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val="en-US" w:eastAsia="zh-CN"/>
        </w:rPr>
        <w:t>民</w:t>
      </w:r>
      <w:r>
        <w:rPr>
          <w:rFonts w:hint="eastAsia" w:ascii="宋体" w:hAnsi="宋体" w:eastAsia="宋体" w:cs="宋体"/>
          <w:b w:val="0"/>
          <w:bCs/>
          <w:sz w:val="24"/>
          <w:highlight w:val="none"/>
          <w:lang w:val="en-US" w:eastAsia="zh-CN"/>
        </w:rPr>
        <w:t>法典</w:t>
      </w:r>
      <w:r>
        <w:rPr>
          <w:rFonts w:hint="eastAsia" w:ascii="宋体" w:hAnsi="宋体" w:eastAsia="宋体" w:cs="宋体"/>
          <w:b w:val="0"/>
          <w:bCs/>
          <w:sz w:val="24"/>
          <w:highlight w:val="none"/>
        </w:rPr>
        <w:t>》、《中华</w:t>
      </w:r>
      <w:r>
        <w:rPr>
          <w:rFonts w:hint="eastAsia" w:ascii="宋体" w:hAnsi="宋体" w:eastAsia="宋体" w:cs="宋体"/>
          <w:b w:val="0"/>
          <w:bCs/>
          <w:sz w:val="24"/>
        </w:rPr>
        <w:t>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施工及有关事项协商一致，共同达成如下协议：</w:t>
      </w:r>
    </w:p>
    <w:p w14:paraId="08E258DD">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一、工程概况</w:t>
      </w:r>
    </w:p>
    <w:p w14:paraId="1FC3EBC6">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u w:val="single"/>
        </w:rPr>
      </w:pPr>
      <w:r>
        <w:rPr>
          <w:rFonts w:hint="eastAsia" w:ascii="宋体" w:hAnsi="宋体" w:eastAsia="宋体" w:cs="宋体"/>
          <w:b w:val="0"/>
          <w:bCs/>
          <w:sz w:val="24"/>
        </w:rPr>
        <w:t>1.工程名称：</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67A0CE2">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2.工程地点：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4EA8C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3.工程立项批准文号：</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20B09C">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4.资金来源：</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8AB99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5.工程内容：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B1075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6.工程承包范围：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w:t>
      </w:r>
    </w:p>
    <w:p w14:paraId="26256A6F">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二、合同工期</w:t>
      </w:r>
    </w:p>
    <w:p w14:paraId="7F4C8BE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07F965C0">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5AF43F4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72204AA9">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三、质量标准</w:t>
      </w:r>
    </w:p>
    <w:p w14:paraId="43150683">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工程质量符合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合格</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标准。</w:t>
      </w:r>
    </w:p>
    <w:p w14:paraId="36CBD75D">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val="0"/>
          <w:bCs/>
          <w:sz w:val="24"/>
          <w:highlight w:val="none"/>
        </w:rPr>
      </w:pPr>
      <w:r>
        <w:rPr>
          <w:rFonts w:hint="eastAsia" w:ascii="宋体" w:hAnsi="宋体" w:eastAsia="宋体" w:cs="宋体"/>
          <w:b/>
          <w:bCs w:val="0"/>
          <w:sz w:val="24"/>
          <w:highlight w:val="none"/>
        </w:rPr>
        <w:t>四、签约合同价与合同价格形式</w:t>
      </w:r>
      <w:r>
        <w:rPr>
          <w:rFonts w:hint="eastAsia" w:ascii="宋体" w:hAnsi="宋体" w:eastAsia="宋体" w:cs="宋体"/>
          <w:b w:val="0"/>
          <w:bCs/>
          <w:sz w:val="24"/>
          <w:highlight w:val="none"/>
        </w:rPr>
        <w:tab/>
      </w:r>
    </w:p>
    <w:p w14:paraId="08806C9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1.签约合同价为：</w:t>
      </w:r>
    </w:p>
    <w:p w14:paraId="56181BA1">
      <w:pPr>
        <w:keepNext w:val="0"/>
        <w:keepLines w:val="0"/>
        <w:pageBreakBefore w:val="0"/>
        <w:kinsoku/>
        <w:wordWrap/>
        <w:overflowPunct/>
        <w:topLinePunct w:val="0"/>
        <w:bidi w:val="0"/>
        <w:spacing w:line="360" w:lineRule="auto"/>
        <w:ind w:firstLine="600" w:firstLineChars="2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元)；</w:t>
      </w:r>
    </w:p>
    <w:p w14:paraId="6F3E7A3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其中：</w:t>
      </w:r>
    </w:p>
    <w:p w14:paraId="5B11371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（1）安全文明施工费：</w:t>
      </w:r>
    </w:p>
    <w:p w14:paraId="43854A6B">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58C676E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47A3F0FA">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87D6BF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C744F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2AB3E4C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（4）暂列金额：</w:t>
      </w:r>
    </w:p>
    <w:p w14:paraId="195CF95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173F0B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29BA4E6">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五、项目经理</w:t>
      </w:r>
    </w:p>
    <w:p w14:paraId="5DD2924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w:t>
      </w:r>
      <w:r>
        <w:rPr>
          <w:rFonts w:hint="eastAsia" w:ascii="宋体" w:hAnsi="宋体" w:eastAsia="宋体" w:cs="宋体"/>
          <w:b w:val="0"/>
          <w:bCs/>
          <w:sz w:val="24"/>
        </w:rPr>
        <w:t>。</w:t>
      </w:r>
    </w:p>
    <w:p w14:paraId="57B8AC62">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六、合同文件构成</w:t>
      </w:r>
    </w:p>
    <w:p w14:paraId="2E7906AF">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66F75FD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（1）中标通知书（如果有）；</w:t>
      </w:r>
    </w:p>
    <w:p w14:paraId="073F40A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6E0CDA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43CFF92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（4）通用合同条款；</w:t>
      </w:r>
    </w:p>
    <w:p w14:paraId="67D2D5C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（5）技术标准和要求；</w:t>
      </w:r>
    </w:p>
    <w:p w14:paraId="123080E1">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526395D0">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（8）其他合同文件。</w:t>
      </w:r>
    </w:p>
    <w:p w14:paraId="7DC4FA8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34E3F27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020AE801">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七、承诺</w:t>
      </w:r>
    </w:p>
    <w:p w14:paraId="42BF1A70">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7476FD2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7B38943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1EC68CB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八、词语含义</w:t>
      </w:r>
    </w:p>
    <w:p w14:paraId="018AEDD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2A2A1DB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九、签订时间</w:t>
      </w:r>
    </w:p>
    <w:p w14:paraId="0E1B689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1708DD3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十、签订地点</w:t>
      </w:r>
    </w:p>
    <w:p w14:paraId="26788821">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7856A7C">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 </w:t>
      </w:r>
      <w:r>
        <w:rPr>
          <w:rFonts w:hint="eastAsia" w:ascii="宋体" w:hAnsi="宋体" w:eastAsia="宋体" w:cs="宋体"/>
          <w:b/>
          <w:bCs w:val="0"/>
          <w:sz w:val="24"/>
        </w:rPr>
        <w:t>十一、补充协议</w:t>
      </w:r>
    </w:p>
    <w:p w14:paraId="7B72B66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32CF0579">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十二、合同生效</w:t>
      </w:r>
    </w:p>
    <w:p w14:paraId="1FB69E6A">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2BD2A1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十三、合同份数</w:t>
      </w:r>
    </w:p>
    <w:p w14:paraId="6B8259E3">
      <w:pPr>
        <w:keepNext w:val="0"/>
        <w:keepLines w:val="0"/>
        <w:pageBreakBefore w:val="0"/>
        <w:widowControl/>
        <w:kinsoku/>
        <w:wordWrap/>
        <w:overflowPunct/>
        <w:topLinePunct w:val="0"/>
        <w:bidi w:val="0"/>
        <w:spacing w:line="440" w:lineRule="exact"/>
        <w:jc w:val="left"/>
        <w:textAlignment w:val="auto"/>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703847C">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p>
    <w:p w14:paraId="2477DB08">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(公章) </w:t>
      </w:r>
      <w:r>
        <w:rPr>
          <w:rFonts w:hint="eastAsia" w:ascii="宋体" w:hAnsi="宋体" w:eastAsia="宋体" w:cs="宋体"/>
          <w:b w:val="0"/>
          <w:bCs/>
          <w:sz w:val="24"/>
          <w:highlight w:val="none"/>
        </w:rPr>
        <w:t xml:space="preserve">    承包人：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(公章)</w:t>
      </w:r>
    </w:p>
    <w:p w14:paraId="3393375E">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法定代表人</w:t>
      </w:r>
      <w:r>
        <w:rPr>
          <w:rFonts w:hint="eastAsia" w:ascii="宋体" w:hAnsi="宋体" w:eastAsia="宋体" w:cs="宋体"/>
          <w:b w:val="0"/>
          <w:bCs/>
          <w:sz w:val="24"/>
          <w:highlight w:val="none"/>
          <w:lang w:val="en-US" w:eastAsia="zh-CN"/>
        </w:rPr>
        <w:t>或其</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法定代表人或其</w:t>
      </w:r>
      <w:r>
        <w:rPr>
          <w:rFonts w:hint="eastAsia" w:ascii="宋体" w:hAnsi="宋体" w:eastAsia="宋体" w:cs="宋体"/>
          <w:b w:val="0"/>
          <w:bCs/>
          <w:sz w:val="24"/>
          <w:highlight w:val="none"/>
          <w:lang w:val="en-US" w:eastAsia="zh-CN"/>
        </w:rPr>
        <w:t xml:space="preserve"> </w:t>
      </w:r>
    </w:p>
    <w:p w14:paraId="66713294">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lang w:val="en-US" w:eastAsia="zh-CN"/>
        </w:rPr>
        <w:t xml:space="preserve">               </w:t>
      </w:r>
    </w:p>
    <w:p w14:paraId="49B9C918">
      <w:pPr>
        <w:keepNext w:val="0"/>
        <w:keepLines w:val="0"/>
        <w:pageBreakBefore w:val="0"/>
        <w:tabs>
          <w:tab w:val="left" w:pos="4410"/>
        </w:tabs>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rPr>
        <w:t xml:space="preserve"> </w:t>
      </w:r>
    </w:p>
    <w:p w14:paraId="3AEB8431">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14:paraId="70715265">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97073C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  话：</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564103D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传  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传  真：</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p>
    <w:p w14:paraId="6BAAE0E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电子信箱：</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E7C3142">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开户银行：</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开户银行：</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BD83D6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账  号：</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账  号：</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CB4F3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4E54927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53632817">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69430F12">
      <w:pPr>
        <w:pStyle w:val="18"/>
        <w:rPr>
          <w:rFonts w:hint="eastAsia" w:ascii="宋体" w:hAnsi="宋体" w:eastAsia="宋体" w:cs="宋体"/>
          <w:b w:val="0"/>
          <w:bCs/>
          <w:sz w:val="32"/>
          <w:szCs w:val="32"/>
        </w:rPr>
      </w:pPr>
    </w:p>
    <w:p w14:paraId="4011949C">
      <w:pPr>
        <w:pStyle w:val="16"/>
        <w:rPr>
          <w:rFonts w:hint="eastAsia" w:ascii="宋体" w:hAnsi="宋体" w:eastAsia="宋体" w:cs="宋体"/>
          <w:b w:val="0"/>
          <w:bCs/>
          <w:sz w:val="32"/>
          <w:szCs w:val="32"/>
        </w:rPr>
      </w:pPr>
    </w:p>
    <w:p w14:paraId="427081E9">
      <w:pPr>
        <w:pStyle w:val="16"/>
        <w:ind w:left="0" w:leftChars="0" w:firstLine="0" w:firstLineChars="0"/>
        <w:rPr>
          <w:rFonts w:hint="eastAsia"/>
        </w:rPr>
      </w:pPr>
    </w:p>
    <w:p w14:paraId="18284C51">
      <w:pPr>
        <w:pStyle w:val="18"/>
        <w:ind w:left="0" w:leftChars="0" w:firstLine="0" w:firstLineChars="0"/>
        <w:rPr>
          <w:rFonts w:hint="eastAsia"/>
        </w:rPr>
      </w:pPr>
    </w:p>
    <w:p w14:paraId="2C861C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764E666C">
      <w:pPr>
        <w:rPr>
          <w:rFonts w:hint="eastAsia" w:ascii="宋体" w:hAnsi="宋体" w:eastAsia="宋体" w:cs="宋体"/>
          <w:b/>
          <w:bCs w:val="0"/>
          <w:sz w:val="32"/>
          <w:szCs w:val="32"/>
        </w:rPr>
      </w:pPr>
      <w:r>
        <w:rPr>
          <w:rFonts w:hint="eastAsia" w:ascii="宋体" w:hAnsi="宋体" w:eastAsia="宋体" w:cs="宋体"/>
          <w:b/>
          <w:bCs w:val="0"/>
          <w:sz w:val="32"/>
          <w:szCs w:val="32"/>
        </w:rPr>
        <w:br w:type="page"/>
      </w:r>
    </w:p>
    <w:p w14:paraId="0EB570A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val="0"/>
          <w:sz w:val="30"/>
          <w:szCs w:val="30"/>
        </w:rPr>
      </w:pPr>
      <w:r>
        <w:rPr>
          <w:rFonts w:hint="eastAsia" w:ascii="宋体" w:hAnsi="宋体" w:eastAsia="宋体" w:cs="宋体"/>
          <w:b/>
          <w:bCs w:val="0"/>
          <w:sz w:val="32"/>
          <w:szCs w:val="32"/>
        </w:rPr>
        <w:t>第二部分 通用合同条款</w:t>
      </w:r>
    </w:p>
    <w:p w14:paraId="14822A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通用合同条款执行《建设工程施工合同》</w:t>
      </w:r>
      <w:r>
        <w:rPr>
          <w:rFonts w:hint="eastAsia" w:ascii="宋体" w:hAnsi="宋体" w:eastAsia="宋体" w:cs="宋体"/>
          <w:bCs/>
          <w:color w:val="auto"/>
          <w:sz w:val="24"/>
          <w:szCs w:val="24"/>
          <w:highlight w:val="none"/>
        </w:rPr>
        <w:t>（GF</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201</w:t>
      </w:r>
      <w:r>
        <w:rPr>
          <w:rFonts w:hint="eastAsia" w:ascii="宋体" w:hAnsi="宋体" w:eastAsia="宋体" w:cs="宋体"/>
          <w:bCs/>
          <w:color w:val="auto"/>
          <w:sz w:val="24"/>
          <w:szCs w:val="24"/>
          <w:highlight w:val="none"/>
          <w:lang w:val="en-US" w:eastAsia="zh-CN"/>
        </w:rPr>
        <w:t>7-0201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的“通用合同条款”，此处略。</w:t>
      </w:r>
    </w:p>
    <w:p w14:paraId="0124F2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highlight w:val="none"/>
          <w:lang w:val="en-US" w:eastAsia="zh-CN"/>
        </w:rPr>
        <w:t>2.通用合</w:t>
      </w:r>
      <w:r>
        <w:rPr>
          <w:rFonts w:hint="eastAsia" w:ascii="宋体" w:hAnsi="宋体" w:eastAsia="宋体" w:cs="宋体"/>
          <w:bCs/>
          <w:color w:val="auto"/>
          <w:sz w:val="24"/>
          <w:szCs w:val="24"/>
          <w:lang w:val="en-US" w:eastAsia="zh-CN"/>
        </w:rPr>
        <w:t>同条款中若与专用合同条款冲突时，以专用合同条款为准。</w:t>
      </w:r>
    </w:p>
    <w:p w14:paraId="25119E37">
      <w:pPr>
        <w:pStyle w:val="18"/>
        <w:rPr>
          <w:rFonts w:hint="eastAsia" w:ascii="宋体" w:hAnsi="宋体" w:eastAsia="宋体" w:cs="宋体"/>
          <w:b w:val="0"/>
          <w:bCs/>
          <w:sz w:val="30"/>
          <w:szCs w:val="30"/>
        </w:rPr>
      </w:pPr>
    </w:p>
    <w:p w14:paraId="0559866F">
      <w:pPr>
        <w:pStyle w:val="16"/>
        <w:rPr>
          <w:rFonts w:hint="eastAsia"/>
        </w:rPr>
      </w:pPr>
    </w:p>
    <w:p w14:paraId="3EC4873A">
      <w:pPr>
        <w:pStyle w:val="18"/>
        <w:rPr>
          <w:rFonts w:hint="eastAsia" w:ascii="宋体" w:hAnsi="宋体" w:eastAsia="宋体" w:cs="宋体"/>
          <w:b w:val="0"/>
          <w:bCs/>
          <w:sz w:val="30"/>
          <w:szCs w:val="30"/>
        </w:rPr>
      </w:pPr>
    </w:p>
    <w:p w14:paraId="58BCDB86">
      <w:pPr>
        <w:pStyle w:val="14"/>
        <w:keepNext w:val="0"/>
        <w:keepLines w:val="0"/>
        <w:pageBreakBefore w:val="0"/>
        <w:pBdr>
          <w:top w:val="none" w:color="auto" w:sz="0" w:space="1"/>
          <w:left w:val="none" w:color="auto" w:sz="0" w:space="0"/>
          <w:bottom w:val="none" w:color="auto" w:sz="0" w:space="0"/>
          <w:right w:val="none" w:color="auto" w:sz="0" w:space="0"/>
          <w:between w:val="none" w:color="auto" w:sz="0" w:space="0"/>
        </w:pBdr>
        <w:tabs>
          <w:tab w:val="left" w:pos="5746"/>
          <w:tab w:val="clear" w:pos="4153"/>
        </w:tabs>
        <w:kinsoku/>
        <w:wordWrap/>
        <w:overflowPunct/>
        <w:topLinePunct w:val="0"/>
        <w:bidi w:val="0"/>
        <w:spacing w:line="440" w:lineRule="exact"/>
        <w:textAlignment w:val="auto"/>
        <w:rPr>
          <w:rFonts w:hint="eastAsia" w:ascii="宋体" w:hAnsi="宋体" w:eastAsia="宋体" w:cs="宋体"/>
          <w:sz w:val="24"/>
          <w:highlight w:val="none"/>
          <w:lang w:eastAsia="zh-CN"/>
        </w:rPr>
      </w:pPr>
      <w:r>
        <w:rPr>
          <w:rFonts w:hint="eastAsia" w:ascii="宋体" w:hAnsi="宋体" w:cs="宋体"/>
          <w:sz w:val="24"/>
          <w:highlight w:val="none"/>
          <w:lang w:eastAsia="zh-CN"/>
        </w:rPr>
        <w:tab/>
      </w:r>
    </w:p>
    <w:p w14:paraId="57446617">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247CF26F">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E326905">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C83B799">
      <w:pPr>
        <w:pStyle w:val="18"/>
        <w:rPr>
          <w:rFonts w:hint="eastAsia" w:ascii="宋体" w:hAnsi="宋体" w:eastAsia="宋体" w:cs="宋体"/>
          <w:b w:val="0"/>
          <w:bCs/>
          <w:sz w:val="32"/>
          <w:szCs w:val="32"/>
        </w:rPr>
      </w:pPr>
    </w:p>
    <w:p w14:paraId="4B4C5ACE">
      <w:pPr>
        <w:pStyle w:val="16"/>
        <w:rPr>
          <w:rFonts w:hint="eastAsia" w:ascii="宋体" w:hAnsi="宋体" w:eastAsia="宋体" w:cs="宋体"/>
          <w:b w:val="0"/>
          <w:bCs/>
          <w:sz w:val="32"/>
          <w:szCs w:val="32"/>
        </w:rPr>
      </w:pPr>
    </w:p>
    <w:p w14:paraId="78B7612B">
      <w:pPr>
        <w:rPr>
          <w:rFonts w:hint="eastAsia" w:ascii="宋体" w:hAnsi="宋体" w:eastAsia="宋体" w:cs="宋体"/>
          <w:b w:val="0"/>
          <w:bCs/>
          <w:sz w:val="32"/>
          <w:szCs w:val="32"/>
        </w:rPr>
      </w:pPr>
    </w:p>
    <w:p w14:paraId="288E8B72">
      <w:pPr>
        <w:pStyle w:val="18"/>
        <w:rPr>
          <w:rFonts w:hint="eastAsia" w:ascii="宋体" w:hAnsi="宋体" w:eastAsia="宋体" w:cs="宋体"/>
          <w:b w:val="0"/>
          <w:bCs/>
          <w:sz w:val="32"/>
          <w:szCs w:val="32"/>
        </w:rPr>
      </w:pPr>
    </w:p>
    <w:p w14:paraId="19E241A4">
      <w:pPr>
        <w:pStyle w:val="16"/>
        <w:rPr>
          <w:rFonts w:hint="eastAsia" w:ascii="宋体" w:hAnsi="宋体" w:eastAsia="宋体" w:cs="宋体"/>
          <w:b w:val="0"/>
          <w:bCs/>
          <w:sz w:val="32"/>
          <w:szCs w:val="32"/>
        </w:rPr>
      </w:pPr>
    </w:p>
    <w:p w14:paraId="2E729EA7">
      <w:pPr>
        <w:rPr>
          <w:rFonts w:hint="eastAsia" w:ascii="宋体" w:hAnsi="宋体" w:eastAsia="宋体" w:cs="宋体"/>
          <w:b w:val="0"/>
          <w:bCs/>
          <w:sz w:val="32"/>
          <w:szCs w:val="32"/>
        </w:rPr>
      </w:pPr>
    </w:p>
    <w:p w14:paraId="3B30303D">
      <w:pPr>
        <w:pStyle w:val="18"/>
        <w:rPr>
          <w:rFonts w:hint="eastAsia" w:ascii="宋体" w:hAnsi="宋体" w:eastAsia="宋体" w:cs="宋体"/>
          <w:b w:val="0"/>
          <w:bCs/>
          <w:sz w:val="32"/>
          <w:szCs w:val="32"/>
        </w:rPr>
      </w:pPr>
    </w:p>
    <w:p w14:paraId="2E9DDDBA">
      <w:pPr>
        <w:pStyle w:val="16"/>
        <w:rPr>
          <w:rFonts w:hint="eastAsia" w:ascii="宋体" w:hAnsi="宋体" w:eastAsia="宋体" w:cs="宋体"/>
          <w:b w:val="0"/>
          <w:bCs/>
          <w:sz w:val="32"/>
          <w:szCs w:val="32"/>
        </w:rPr>
      </w:pPr>
    </w:p>
    <w:p w14:paraId="31C177B9">
      <w:pPr>
        <w:keepNext w:val="0"/>
        <w:keepLines w:val="0"/>
        <w:pageBreakBefore w:val="0"/>
        <w:kinsoku/>
        <w:wordWrap/>
        <w:overflowPunct/>
        <w:topLinePunct w:val="0"/>
        <w:bidi w:val="0"/>
        <w:spacing w:line="440" w:lineRule="exact"/>
        <w:jc w:val="center"/>
        <w:textAlignment w:val="auto"/>
        <w:outlineLvl w:val="9"/>
        <w:rPr>
          <w:rFonts w:ascii="宋体" w:hAnsi="宋体" w:cs="宋体"/>
          <w:b/>
          <w:bCs w:val="0"/>
          <w:sz w:val="24"/>
          <w:highlight w:val="none"/>
        </w:rPr>
      </w:pPr>
      <w:r>
        <w:rPr>
          <w:rFonts w:hint="eastAsia" w:ascii="宋体" w:hAnsi="宋体" w:eastAsia="宋体" w:cs="宋体"/>
          <w:b/>
          <w:bCs w:val="0"/>
          <w:sz w:val="32"/>
          <w:szCs w:val="32"/>
        </w:rPr>
        <w:t>第三部分 专用合同条款</w:t>
      </w:r>
    </w:p>
    <w:p w14:paraId="3E750221">
      <w:pPr>
        <w:keepNext w:val="0"/>
        <w:keepLines w:val="0"/>
        <w:pageBreakBefore w:val="0"/>
        <w:widowControl w:val="0"/>
        <w:numPr>
          <w:ilvl w:val="0"/>
          <w:numId w:val="0"/>
        </w:numPr>
        <w:kinsoku/>
        <w:wordWrap/>
        <w:overflowPunct/>
        <w:topLinePunct w:val="0"/>
        <w:autoSpaceDN/>
        <w:bidi w:val="0"/>
        <w:adjustRightInd/>
        <w:snapToGrid/>
        <w:spacing w:before="120" w:after="120" w:line="400" w:lineRule="exact"/>
        <w:jc w:val="left"/>
        <w:textAlignment w:val="auto"/>
        <w:outlineLvl w:val="9"/>
        <w:rPr>
          <w:rFonts w:hint="eastAsia" w:ascii="宋体" w:hAnsi="宋体"/>
          <w:sz w:val="24"/>
        </w:rPr>
      </w:pPr>
      <w:bookmarkStart w:id="2" w:name="_Toc351203652"/>
      <w:r>
        <w:rPr>
          <w:rFonts w:hint="eastAsia" w:ascii="宋体" w:hAnsi="宋体"/>
          <w:sz w:val="24"/>
        </w:rPr>
        <w:t>1</w:t>
      </w:r>
      <w:bookmarkStart w:id="3" w:name="_Toc296890984"/>
      <w:bookmarkEnd w:id="3"/>
      <w:bookmarkStart w:id="4" w:name="_Toc292559866"/>
      <w:bookmarkEnd w:id="4"/>
      <w:bookmarkStart w:id="5" w:name="_Toc296891196"/>
      <w:bookmarkEnd w:id="5"/>
      <w:bookmarkStart w:id="6" w:name="_Toc297048342"/>
      <w:bookmarkEnd w:id="6"/>
      <w:bookmarkStart w:id="7" w:name="_Toc296346657"/>
      <w:bookmarkEnd w:id="7"/>
      <w:bookmarkStart w:id="8" w:name="_Toc296503156"/>
      <w:bookmarkEnd w:id="8"/>
      <w:bookmarkStart w:id="9" w:name="_Toc292559361"/>
      <w:bookmarkEnd w:id="9"/>
      <w:bookmarkStart w:id="10" w:name="_Toc297120456"/>
      <w:bookmarkEnd w:id="10"/>
      <w:bookmarkStart w:id="11" w:name="_Toc296347155"/>
      <w:bookmarkEnd w:id="11"/>
      <w:bookmarkStart w:id="12" w:name="_Toc296944495"/>
      <w:r>
        <w:rPr>
          <w:rFonts w:hint="eastAsia" w:ascii="宋体" w:hAnsi="宋体"/>
          <w:sz w:val="24"/>
        </w:rPr>
        <w:t>. 一般约定</w:t>
      </w:r>
      <w:bookmarkEnd w:id="12"/>
    </w:p>
    <w:p w14:paraId="39E59A58">
      <w:pPr>
        <w:keepNext w:val="0"/>
        <w:keepLines w:val="0"/>
        <w:pageBreakBefore w:val="0"/>
        <w:widowControl w:val="0"/>
        <w:kinsoku/>
        <w:wordWrap/>
        <w:overflowPunct/>
        <w:topLinePunct w:val="0"/>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1.1 词语定义</w:t>
      </w:r>
    </w:p>
    <w:p w14:paraId="04DC328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1.1.1合同</w:t>
      </w:r>
    </w:p>
    <w:p w14:paraId="773F64D8">
      <w:pPr>
        <w:keepNext w:val="0"/>
        <w:keepLines w:val="0"/>
        <w:pageBreakBefore w:val="0"/>
        <w:widowControl w:val="0"/>
        <w:kinsoku/>
        <w:wordWrap/>
        <w:overflowPunct/>
        <w:topLinePunct w:val="0"/>
        <w:autoSpaceDE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1.1.1.1</w:t>
      </w:r>
      <w:r>
        <w:rPr>
          <w:rFonts w:hint="eastAsia" w:ascii="宋体" w:hAnsi="宋体"/>
          <w:sz w:val="24"/>
          <w:lang w:val="en-US" w:eastAsia="zh-CN"/>
        </w:rPr>
        <w:t>0</w:t>
      </w:r>
      <w:r>
        <w:rPr>
          <w:rFonts w:hint="eastAsia" w:ascii="宋体" w:hAnsi="宋体"/>
          <w:sz w:val="24"/>
        </w:rPr>
        <w:t>其他合同文件包括：</w:t>
      </w:r>
      <w:r>
        <w:rPr>
          <w:rFonts w:hint="eastAsia" w:ascii="宋体" w:hAnsi="宋体"/>
          <w:sz w:val="24"/>
          <w:u w:val="single"/>
        </w:rPr>
        <w:t></w:t>
      </w:r>
      <w:r>
        <w:rPr>
          <w:rFonts w:hint="eastAsia" w:ascii="宋体" w:hAnsi="宋体"/>
          <w:kern w:val="2"/>
          <w:sz w:val="24"/>
          <w:u w:val="single"/>
        </w:rPr>
        <w:t>履行合同过程中双方总经理以上管理者（或双方工地代表人）书面确认的对合同内容有实质性影响的会议纪要、签证、设计变更等资料</w:t>
      </w:r>
      <w:r>
        <w:rPr>
          <w:rFonts w:hint="eastAsia" w:ascii="宋体" w:hAnsi="宋体"/>
          <w:sz w:val="24"/>
        </w:rPr>
        <w:t>。</w:t>
      </w:r>
    </w:p>
    <w:p w14:paraId="65F7CF3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 合同当事人及其他相关方</w:t>
      </w:r>
    </w:p>
    <w:p w14:paraId="28788FD0">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1.1.2.4监理人：</w:t>
      </w:r>
    </w:p>
    <w:p w14:paraId="3F9A1127">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63E5192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0CA5A424">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3B76EFB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w:t>
      </w:r>
      <w:r>
        <w:rPr>
          <w:rFonts w:hint="eastAsia" w:ascii="宋体" w:hAnsi="宋体"/>
          <w:sz w:val="24"/>
        </w:rPr>
        <w:t>；</w:t>
      </w:r>
    </w:p>
    <w:p w14:paraId="7747E43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656252D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1.1.2.5 设计人：</w:t>
      </w:r>
    </w:p>
    <w:p w14:paraId="0F9416D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518DDB6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7A8A8175">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4E0EEDDC">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xml:space="preserve">                    </w:t>
      </w:r>
      <w:r>
        <w:rPr>
          <w:rFonts w:hint="eastAsia" w:ascii="宋体" w:hAnsi="宋体"/>
          <w:sz w:val="24"/>
        </w:rPr>
        <w:t>；</w:t>
      </w:r>
    </w:p>
    <w:p w14:paraId="023FF7C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70184F8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 工程和设备</w:t>
      </w:r>
    </w:p>
    <w:p w14:paraId="3863F98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1.1.3.7 作为施工现场组成部分的其他场所包括：</w:t>
      </w:r>
      <w:r>
        <w:rPr>
          <w:rFonts w:hint="eastAsia" w:ascii="宋体" w:hAnsi="宋体"/>
          <w:sz w:val="24"/>
          <w:u w:val="single"/>
        </w:rPr>
        <w:t xml:space="preserve">  </w:t>
      </w:r>
      <w:r>
        <w:rPr>
          <w:rFonts w:hint="eastAsia" w:ascii="宋体" w:hAnsi="宋体"/>
          <w:kern w:val="2"/>
          <w:sz w:val="24"/>
          <w:u w:val="single"/>
        </w:rPr>
        <w:t>符合通用条款规定的发包方提供的施工场地。</w:t>
      </w:r>
    </w:p>
    <w:p w14:paraId="281E5047">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1.1.3.9 永久占地包括：</w:t>
      </w:r>
      <w:r>
        <w:rPr>
          <w:rFonts w:hint="eastAsia" w:ascii="宋体" w:hAnsi="宋体"/>
          <w:sz w:val="24"/>
          <w:u w:val="single"/>
        </w:rPr>
        <w:t xml:space="preserve">    </w:t>
      </w:r>
      <w:r>
        <w:rPr>
          <w:rFonts w:hint="eastAsia" w:ascii="宋体" w:hAnsi="宋体"/>
          <w:kern w:val="2"/>
          <w:sz w:val="24"/>
          <w:u w:val="single"/>
        </w:rPr>
        <w:t>用地红线范围内的本工程施工场所</w:t>
      </w:r>
      <w:r>
        <w:rPr>
          <w:rFonts w:hint="eastAsia" w:ascii="宋体" w:hAnsi="宋体"/>
          <w:sz w:val="24"/>
          <w:u w:val="single"/>
        </w:rPr>
        <w:t> </w:t>
      </w:r>
      <w:r>
        <w:rPr>
          <w:rFonts w:hint="eastAsia" w:ascii="宋体" w:hAnsi="宋体"/>
          <w:sz w:val="24"/>
        </w:rPr>
        <w:t>。</w:t>
      </w:r>
    </w:p>
    <w:p w14:paraId="2B9C03BB">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1.1.3.10 临时占地包括：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w:t>
      </w:r>
      <w:r>
        <w:rPr>
          <w:rFonts w:hint="eastAsia" w:ascii="宋体" w:hAnsi="宋体"/>
          <w:sz w:val="24"/>
        </w:rPr>
        <w:t>。</w:t>
      </w:r>
    </w:p>
    <w:p w14:paraId="55FF6F78">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 xml:space="preserve">1.3法律 </w:t>
      </w:r>
    </w:p>
    <w:p w14:paraId="07079C82">
      <w:pPr>
        <w:keepNext w:val="0"/>
        <w:keepLines w:val="0"/>
        <w:pageBreakBefore w:val="0"/>
        <w:kinsoku/>
        <w:wordWrap/>
        <w:overflowPunct/>
        <w:topLinePunct w:val="0"/>
        <w:autoSpaceDE w:val="0"/>
        <w:autoSpaceDN w:val="0"/>
        <w:bidi w:val="0"/>
        <w:adjustRightInd w:val="0"/>
        <w:spacing w:line="440" w:lineRule="exact"/>
        <w:jc w:val="left"/>
        <w:textAlignment w:val="auto"/>
        <w:outlineLvl w:val="9"/>
        <w:rPr>
          <w:rFonts w:hint="eastAsia" w:ascii="宋体" w:hAnsi="宋体"/>
          <w:sz w:val="24"/>
        </w:rPr>
      </w:pPr>
      <w:r>
        <w:rPr>
          <w:rFonts w:hint="eastAsia" w:ascii="宋体" w:hAnsi="宋体"/>
          <w:sz w:val="24"/>
        </w:rPr>
        <w:t>适用于合同的其他规范性文件：</w:t>
      </w:r>
      <w:r>
        <w:rPr>
          <w:rFonts w:hint="eastAsia" w:ascii="宋体" w:hAnsi="宋体"/>
          <w:sz w:val="24"/>
          <w:u w:val="single"/>
        </w:rPr>
        <w:t>包括但不限于：《建设工程质量管理条例》、</w:t>
      </w:r>
      <w:r>
        <w:rPr>
          <w:rFonts w:hint="eastAsia" w:ascii="宋体" w:hAnsi="宋体"/>
          <w:spacing w:val="-4"/>
          <w:sz w:val="24"/>
          <w:u w:val="single"/>
        </w:rPr>
        <w:t>《中华人民共和国</w:t>
      </w:r>
      <w:r>
        <w:rPr>
          <w:rFonts w:hint="eastAsia" w:ascii="宋体" w:hAnsi="宋体"/>
          <w:spacing w:val="-4"/>
          <w:sz w:val="24"/>
          <w:u w:val="single"/>
          <w:lang w:val="en-US" w:eastAsia="zh-CN"/>
        </w:rPr>
        <w:t>民法典</w:t>
      </w:r>
      <w:r>
        <w:rPr>
          <w:rFonts w:hint="eastAsia" w:ascii="宋体" w:hAnsi="宋体"/>
          <w:spacing w:val="-4"/>
          <w:sz w:val="24"/>
          <w:u w:val="single"/>
        </w:rPr>
        <w:t>》、《中华人民共和国建筑法》及地方当期强制执行文件等。</w:t>
      </w:r>
    </w:p>
    <w:p w14:paraId="5E9B9B84">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1.4 标准和规范</w:t>
      </w:r>
    </w:p>
    <w:p w14:paraId="0E6583BE">
      <w:pPr>
        <w:keepNext w:val="0"/>
        <w:keepLines w:val="0"/>
        <w:pageBreakBefore w:val="0"/>
        <w:kinsoku/>
        <w:wordWrap/>
        <w:overflowPunct/>
        <w:topLinePunct w:val="0"/>
        <w:bidi w:val="0"/>
        <w:spacing w:line="440" w:lineRule="exact"/>
        <w:ind w:firstLine="480" w:firstLineChars="200"/>
        <w:textAlignment w:val="auto"/>
        <w:outlineLvl w:val="9"/>
        <w:rPr>
          <w:rFonts w:hint="eastAsia" w:ascii="宋体" w:hAnsi="宋体"/>
          <w:sz w:val="24"/>
        </w:rPr>
      </w:pPr>
      <w:r>
        <w:rPr>
          <w:rFonts w:hint="eastAsia" w:ascii="宋体" w:hAnsi="宋体"/>
          <w:sz w:val="24"/>
        </w:rPr>
        <w:t>1.4.1适用于工程的标准规范包括：</w:t>
      </w:r>
      <w:r>
        <w:rPr>
          <w:rFonts w:hint="eastAsia" w:ascii="宋体" w:hAnsi="宋体"/>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kern w:val="2"/>
          <w:sz w:val="24"/>
          <w:u w:val="single"/>
        </w:rPr>
        <w:t xml:space="preserve"> </w:t>
      </w:r>
    </w:p>
    <w:p w14:paraId="47D4FC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1.4.2 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035FC7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发包人提供国外标准、规范的份数：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C2553D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D2717C2">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1.4.3发包人对工程的技术标准和功能要求的特殊要求：</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32C380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 合同文件的优先顺序</w:t>
      </w:r>
    </w:p>
    <w:p w14:paraId="0B286D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合同文件组成及优先顺序为：</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6D86AAC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 图纸和承包人文件</w:t>
      </w:r>
      <w:r>
        <w:rPr>
          <w:rFonts w:hint="eastAsia" w:ascii="宋体" w:hAnsi="宋体"/>
          <w:sz w:val="24"/>
        </w:rPr>
        <w:tab/>
      </w:r>
    </w:p>
    <w:p w14:paraId="32484F3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1.6.1 图纸的提供</w:t>
      </w:r>
    </w:p>
    <w:p w14:paraId="7454F35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rPr>
        <w:t>发包人向承包人提供图纸的期限：</w:t>
      </w:r>
      <w:r>
        <w:rPr>
          <w:rFonts w:hint="eastAsia" w:ascii="宋体" w:hAnsi="宋体"/>
          <w:sz w:val="24"/>
          <w:u w:val="single"/>
        </w:rPr>
        <w:t xml:space="preserve">        </w:t>
      </w:r>
      <w:r>
        <w:rPr>
          <w:rFonts w:hint="eastAsia" w:ascii="宋体" w:hAnsi="宋体"/>
          <w:sz w:val="24"/>
          <w:highlight w:val="none"/>
          <w:u w:val="single"/>
        </w:rPr>
        <w:t xml:space="preserve">  合同签订后3日内          </w:t>
      </w:r>
      <w:r>
        <w:rPr>
          <w:rFonts w:hint="eastAsia" w:ascii="宋体" w:hAnsi="宋体"/>
          <w:sz w:val="24"/>
          <w:highlight w:val="none"/>
        </w:rPr>
        <w:t>；</w:t>
      </w:r>
    </w:p>
    <w:p w14:paraId="2167209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发包人向承包人提供图纸的数量：</w:t>
      </w:r>
      <w:r>
        <w:rPr>
          <w:rFonts w:hint="eastAsia" w:ascii="宋体" w:hAnsi="宋体"/>
          <w:sz w:val="24"/>
          <w:highlight w:val="none"/>
          <w:u w:val="single"/>
        </w:rPr>
        <w:t xml:space="preserve">               4套                </w:t>
      </w:r>
      <w:r>
        <w:rPr>
          <w:rFonts w:hint="eastAsia" w:ascii="宋体" w:hAnsi="宋体"/>
          <w:sz w:val="24"/>
          <w:highlight w:val="none"/>
        </w:rPr>
        <w:t>；</w:t>
      </w:r>
    </w:p>
    <w:p w14:paraId="725881E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highlight w:val="none"/>
        </w:rPr>
        <w:t>发包人向承包人提供图纸的内容：</w:t>
      </w:r>
      <w:r>
        <w:rPr>
          <w:rFonts w:hint="eastAsia" w:ascii="宋体" w:hAnsi="宋体"/>
          <w:sz w:val="24"/>
          <w:highlight w:val="none"/>
          <w:u w:val="single"/>
        </w:rPr>
        <w:t xml:space="preserve">         招标范围内的所有图纸       </w:t>
      </w:r>
      <w:r>
        <w:rPr>
          <w:rFonts w:hint="eastAsia" w:ascii="宋体" w:hAnsi="宋体"/>
          <w:sz w:val="24"/>
        </w:rPr>
        <w:t>。</w:t>
      </w:r>
    </w:p>
    <w:p w14:paraId="0E9DF80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1.6.4 承包人文件</w:t>
      </w:r>
    </w:p>
    <w:p w14:paraId="2932DBEA">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需要由承包人提供的文件，括：</w:t>
      </w:r>
      <w:r>
        <w:rPr>
          <w:rFonts w:hint="eastAsia" w:ascii="宋体" w:hAnsi="宋体"/>
          <w:sz w:val="24"/>
          <w:u w:val="single"/>
        </w:rPr>
        <w:t xml:space="preserve">                                   </w:t>
      </w:r>
      <w:r>
        <w:rPr>
          <w:rFonts w:hint="eastAsia" w:ascii="宋体" w:hAnsi="宋体"/>
          <w:sz w:val="24"/>
        </w:rPr>
        <w:t>；</w:t>
      </w:r>
    </w:p>
    <w:p w14:paraId="1997A10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承包人提供的文件的期限为：</w:t>
      </w:r>
      <w:r>
        <w:rPr>
          <w:rFonts w:hint="eastAsia" w:ascii="宋体" w:hAnsi="宋体"/>
          <w:sz w:val="24"/>
          <w:u w:val="single"/>
        </w:rPr>
        <w:t xml:space="preserve">                                        </w:t>
      </w:r>
      <w:r>
        <w:rPr>
          <w:rFonts w:hint="eastAsia" w:ascii="宋体" w:hAnsi="宋体"/>
          <w:sz w:val="24"/>
        </w:rPr>
        <w:t>；</w:t>
      </w:r>
    </w:p>
    <w:p w14:paraId="4DA550B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承包人提供的文件的数量为：</w:t>
      </w:r>
      <w:r>
        <w:rPr>
          <w:rFonts w:hint="eastAsia" w:ascii="宋体" w:hAnsi="宋体"/>
          <w:sz w:val="24"/>
          <w:u w:val="single"/>
        </w:rPr>
        <w:t xml:space="preserve">                                        </w:t>
      </w:r>
      <w:r>
        <w:rPr>
          <w:rFonts w:hint="eastAsia" w:ascii="宋体" w:hAnsi="宋体"/>
          <w:sz w:val="24"/>
        </w:rPr>
        <w:t>；</w:t>
      </w:r>
    </w:p>
    <w:p w14:paraId="06326B2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承包人提供的文件的形式为：</w:t>
      </w:r>
      <w:r>
        <w:rPr>
          <w:rFonts w:hint="eastAsia" w:ascii="宋体" w:hAnsi="宋体"/>
          <w:sz w:val="24"/>
          <w:u w:val="single"/>
        </w:rPr>
        <w:t xml:space="preserve">                                        </w:t>
      </w:r>
      <w:r>
        <w:rPr>
          <w:rFonts w:hint="eastAsia" w:ascii="宋体" w:hAnsi="宋体"/>
          <w:sz w:val="24"/>
        </w:rPr>
        <w:t>；</w:t>
      </w:r>
    </w:p>
    <w:p w14:paraId="6384966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发包人审批承包人文件的期限：</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6E68F1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1.6.5 现场图纸准备</w:t>
      </w:r>
    </w:p>
    <w:p w14:paraId="5E67687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关于现场图纸准备的约定：</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75787E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1.7 联络</w:t>
      </w:r>
    </w:p>
    <w:p w14:paraId="16C9B46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1.7.1发包人和承包人应当在</w:t>
      </w:r>
      <w:r>
        <w:rPr>
          <w:rFonts w:hint="eastAsia" w:ascii="宋体" w:hAnsi="宋体"/>
          <w:sz w:val="24"/>
          <w:u w:val="single"/>
        </w:rPr>
        <w:t>7</w:t>
      </w:r>
      <w:r>
        <w:rPr>
          <w:rFonts w:hint="eastAsia" w:ascii="宋体" w:hAnsi="宋体"/>
          <w:sz w:val="24"/>
        </w:rPr>
        <w:t>天内将与合同有关的通知、批准、证明、证书、指示、指令、要求、请求、同意、意见、确定和决定等书面函件送达对方当事人。</w:t>
      </w:r>
    </w:p>
    <w:p w14:paraId="4E5C09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1.7.2 发包人接收文件的地点：</w:t>
      </w:r>
      <w:r>
        <w:rPr>
          <w:rFonts w:hint="eastAsia" w:ascii="宋体" w:hAnsi="宋体"/>
          <w:sz w:val="24"/>
          <w:u w:val="single"/>
        </w:rPr>
        <w:t xml:space="preserve">         </w:t>
      </w:r>
      <w:r>
        <w:rPr>
          <w:rFonts w:hint="eastAsia" w:ascii="宋体" w:hAnsi="宋体"/>
          <w:kern w:val="2"/>
          <w:sz w:val="24"/>
          <w:u w:val="single"/>
        </w:rPr>
        <w:t>项目所在地发包人办公室</w:t>
      </w:r>
      <w:r>
        <w:rPr>
          <w:rFonts w:hint="eastAsia" w:ascii="宋体" w:hAnsi="宋体"/>
          <w:sz w:val="24"/>
          <w:u w:val="single"/>
        </w:rPr>
        <w:t xml:space="preserve">        </w:t>
      </w:r>
      <w:r>
        <w:rPr>
          <w:rFonts w:hint="eastAsia" w:ascii="宋体" w:hAnsi="宋体"/>
          <w:sz w:val="24"/>
        </w:rPr>
        <w:t>；</w:t>
      </w:r>
    </w:p>
    <w:p w14:paraId="69487BD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发包人指定的接收人为：</w:t>
      </w:r>
      <w:r>
        <w:rPr>
          <w:rFonts w:hint="eastAsia" w:ascii="宋体" w:hAnsi="宋体"/>
          <w:sz w:val="24"/>
          <w:u w:val="single"/>
        </w:rPr>
        <w:t xml:space="preserve">             </w:t>
      </w:r>
      <w:r>
        <w:rPr>
          <w:rFonts w:hint="eastAsia" w:ascii="宋体" w:hAnsi="宋体"/>
          <w:kern w:val="2"/>
          <w:sz w:val="24"/>
          <w:u w:val="single"/>
        </w:rPr>
        <w:t>发包人驻工地代表</w:t>
      </w:r>
      <w:r>
        <w:rPr>
          <w:rFonts w:hint="eastAsia" w:ascii="宋体" w:hAnsi="宋体"/>
          <w:sz w:val="24"/>
          <w:u w:val="single"/>
        </w:rPr>
        <w:t xml:space="preserve">            </w:t>
      </w:r>
      <w:r>
        <w:rPr>
          <w:rFonts w:hint="eastAsia" w:ascii="宋体" w:hAnsi="宋体"/>
          <w:sz w:val="24"/>
        </w:rPr>
        <w:t>。</w:t>
      </w:r>
    </w:p>
    <w:p w14:paraId="2C70024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承包人接收文件的地点：</w:t>
      </w:r>
      <w:r>
        <w:rPr>
          <w:rFonts w:hint="eastAsia" w:ascii="宋体" w:hAnsi="宋体"/>
          <w:sz w:val="24"/>
          <w:u w:val="single"/>
        </w:rPr>
        <w:t xml:space="preserve">              </w:t>
      </w:r>
      <w:r>
        <w:rPr>
          <w:rFonts w:hint="eastAsia" w:ascii="宋体" w:hAnsi="宋体"/>
          <w:kern w:val="2"/>
          <w:sz w:val="24"/>
          <w:u w:val="single"/>
        </w:rPr>
        <w:t>项目所在地承包人办公室</w:t>
      </w:r>
      <w:r>
        <w:rPr>
          <w:rFonts w:hint="eastAsia" w:ascii="宋体" w:hAnsi="宋体"/>
          <w:sz w:val="24"/>
          <w:u w:val="single"/>
        </w:rPr>
        <w:t xml:space="preserve">         </w:t>
      </w:r>
      <w:r>
        <w:rPr>
          <w:rFonts w:hint="eastAsia" w:ascii="宋体" w:hAnsi="宋体"/>
          <w:sz w:val="24"/>
        </w:rPr>
        <w:t>；</w:t>
      </w:r>
    </w:p>
    <w:p w14:paraId="4AE0682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承包人指定的接收人为：</w:t>
      </w:r>
      <w:r>
        <w:rPr>
          <w:rFonts w:hint="eastAsia" w:ascii="宋体" w:hAnsi="宋体"/>
          <w:sz w:val="24"/>
          <w:u w:val="single"/>
        </w:rPr>
        <w:t xml:space="preserve">              </w:t>
      </w:r>
      <w:r>
        <w:rPr>
          <w:rFonts w:hint="eastAsia" w:ascii="宋体" w:hAnsi="宋体"/>
          <w:kern w:val="2"/>
          <w:sz w:val="24"/>
          <w:u w:val="single"/>
        </w:rPr>
        <w:t>承包方项目经理</w:t>
      </w:r>
      <w:r>
        <w:rPr>
          <w:rFonts w:hint="eastAsia" w:ascii="宋体" w:hAnsi="宋体"/>
          <w:sz w:val="24"/>
          <w:u w:val="single"/>
        </w:rPr>
        <w:t xml:space="preserve">                </w:t>
      </w:r>
      <w:r>
        <w:rPr>
          <w:rFonts w:hint="eastAsia" w:ascii="宋体" w:hAnsi="宋体"/>
          <w:sz w:val="24"/>
        </w:rPr>
        <w:t>。</w:t>
      </w:r>
    </w:p>
    <w:p w14:paraId="60C2A5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监理人接收文件的地点：</w:t>
      </w:r>
      <w:r>
        <w:rPr>
          <w:rFonts w:hint="eastAsia" w:ascii="宋体" w:hAnsi="宋体"/>
          <w:sz w:val="24"/>
          <w:u w:val="single"/>
        </w:rPr>
        <w:t xml:space="preserve">              </w:t>
      </w:r>
      <w:r>
        <w:rPr>
          <w:rFonts w:hint="eastAsia" w:ascii="宋体" w:hAnsi="宋体"/>
          <w:kern w:val="2"/>
          <w:sz w:val="24"/>
          <w:u w:val="single"/>
        </w:rPr>
        <w:t>项目所在地监理人办公室</w:t>
      </w:r>
      <w:r>
        <w:rPr>
          <w:rFonts w:hint="eastAsia" w:ascii="宋体" w:hAnsi="宋体"/>
          <w:sz w:val="24"/>
          <w:u w:val="single"/>
        </w:rPr>
        <w:t>    </w:t>
      </w:r>
      <w:r>
        <w:rPr>
          <w:rFonts w:hint="eastAsia" w:ascii="宋体" w:hAnsi="宋体"/>
          <w:sz w:val="24"/>
        </w:rPr>
        <w:t>；</w:t>
      </w:r>
    </w:p>
    <w:p w14:paraId="7628959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监理人指定的接收人为：</w:t>
      </w:r>
      <w:r>
        <w:rPr>
          <w:rFonts w:hint="eastAsia" w:ascii="宋体" w:hAnsi="宋体"/>
          <w:sz w:val="24"/>
          <w:u w:val="single"/>
        </w:rPr>
        <w:t xml:space="preserve">              </w:t>
      </w:r>
      <w:r>
        <w:rPr>
          <w:rFonts w:hint="eastAsia" w:ascii="宋体" w:hAnsi="宋体"/>
          <w:kern w:val="2"/>
          <w:sz w:val="24"/>
          <w:u w:val="single"/>
        </w:rPr>
        <w:t xml:space="preserve">项目总监或总监代表     </w:t>
      </w:r>
      <w:r>
        <w:rPr>
          <w:rFonts w:hint="eastAsia" w:ascii="宋体" w:hAnsi="宋体"/>
          <w:sz w:val="24"/>
          <w:u w:val="single"/>
        </w:rPr>
        <w:t xml:space="preserve">   </w:t>
      </w:r>
      <w:r>
        <w:rPr>
          <w:rFonts w:hint="eastAsia" w:ascii="宋体" w:hAnsi="宋体"/>
          <w:sz w:val="24"/>
        </w:rPr>
        <w:t>。</w:t>
      </w:r>
    </w:p>
    <w:p w14:paraId="12D68B6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1.10 交通运输</w:t>
      </w:r>
    </w:p>
    <w:p w14:paraId="3493CDF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w:t>
      </w:r>
      <w:bookmarkStart w:id="13" w:name="_Toc303539100"/>
      <w:bookmarkEnd w:id="13"/>
      <w:bookmarkStart w:id="14" w:name="_Toc300934943"/>
      <w:bookmarkEnd w:id="14"/>
      <w:bookmarkStart w:id="15" w:name="_Toc318581155"/>
      <w:bookmarkEnd w:id="15"/>
      <w:bookmarkStart w:id="16" w:name="_Toc304295521"/>
      <w:bookmarkEnd w:id="16"/>
      <w:bookmarkStart w:id="17" w:name="_Toc312677986"/>
      <w:r>
        <w:rPr>
          <w:rFonts w:hint="eastAsia" w:ascii="宋体" w:hAnsi="宋体"/>
          <w:sz w:val="24"/>
        </w:rPr>
        <w:t>.10.1 出入现场的权利</w:t>
      </w:r>
      <w:bookmarkEnd w:id="17"/>
    </w:p>
    <w:p w14:paraId="671F4C4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关于出入现场的权利的约定：</w:t>
      </w:r>
      <w:r>
        <w:rPr>
          <w:rFonts w:hint="eastAsia" w:ascii="宋体" w:hAnsi="宋体"/>
          <w:kern w:val="2"/>
          <w:sz w:val="24"/>
          <w:u w:val="single"/>
        </w:rPr>
        <w:t>由承包人按发包人要求负责取得出入施工现场所需的批准手续和全部权利，以及取得因施工所需修建道路以及其他基础设施的权利，并承担相关手续费用和建设费用。</w:t>
      </w:r>
    </w:p>
    <w:p w14:paraId="6A04C5F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18" w:name="_Toc300934944"/>
      <w:bookmarkEnd w:id="18"/>
      <w:bookmarkStart w:id="19" w:name="_Toc304295522"/>
      <w:bookmarkEnd w:id="19"/>
      <w:bookmarkStart w:id="20" w:name="_Toc318581156"/>
      <w:bookmarkEnd w:id="20"/>
      <w:bookmarkStart w:id="21" w:name="_Toc303539101"/>
      <w:bookmarkEnd w:id="21"/>
      <w:bookmarkStart w:id="22" w:name="_Toc312677987"/>
      <w:r>
        <w:rPr>
          <w:rFonts w:hint="eastAsia" w:ascii="宋体" w:hAnsi="宋体"/>
          <w:sz w:val="24"/>
        </w:rPr>
        <w:t>.10.3 场内交通</w:t>
      </w:r>
      <w:bookmarkEnd w:id="22"/>
    </w:p>
    <w:p w14:paraId="0EA505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关于场外交通和场内交通的边界的约定：</w:t>
      </w:r>
      <w:r>
        <w:rPr>
          <w:rFonts w:hint="eastAsia" w:ascii="宋体" w:hAnsi="宋体"/>
          <w:sz w:val="24"/>
          <w:u w:val="single"/>
        </w:rPr>
        <w:t xml:space="preserve">           </w:t>
      </w:r>
      <w:r>
        <w:rPr>
          <w:rFonts w:hint="eastAsia" w:ascii="宋体" w:hAnsi="宋体"/>
          <w:spacing w:val="14"/>
          <w:kern w:val="2"/>
          <w:sz w:val="24"/>
          <w:u w:val="single"/>
        </w:rPr>
        <w:t>建筑红线</w:t>
      </w:r>
      <w:r>
        <w:rPr>
          <w:rFonts w:hint="eastAsia" w:ascii="宋体" w:hAnsi="宋体"/>
          <w:sz w:val="24"/>
          <w:u w:val="single"/>
        </w:rPr>
        <w:t xml:space="preserve">         </w:t>
      </w:r>
      <w:r>
        <w:rPr>
          <w:rFonts w:hint="eastAsia" w:ascii="宋体" w:hAnsi="宋体"/>
          <w:sz w:val="24"/>
        </w:rPr>
        <w:t>。</w:t>
      </w:r>
    </w:p>
    <w:p w14:paraId="7D9D727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关于发包人向承包人免费提供满足工程施工需要的场内道路和交通设施的约定：</w:t>
      </w:r>
      <w:r>
        <w:rPr>
          <w:rFonts w:hint="eastAsia" w:ascii="宋体" w:hAnsi="宋体"/>
          <w:sz w:val="24"/>
          <w:u w:val="single"/>
        </w:rPr>
        <w:t xml:space="preserve"> </w:t>
      </w:r>
      <w:r>
        <w:rPr>
          <w:rFonts w:hint="eastAsia" w:ascii="宋体" w:hAnsi="宋体"/>
          <w:spacing w:val="14"/>
          <w:kern w:val="2"/>
          <w:sz w:val="24"/>
          <w:u w:val="single"/>
        </w:rPr>
        <w:t xml:space="preserve">             </w:t>
      </w:r>
      <w:r>
        <w:rPr>
          <w:rFonts w:hint="eastAsia" w:ascii="宋体" w:hAnsi="宋体"/>
          <w:sz w:val="24"/>
          <w:u w:val="single"/>
        </w:rPr>
        <w:t></w:t>
      </w:r>
      <w:r>
        <w:rPr>
          <w:rFonts w:hint="eastAsia" w:ascii="宋体" w:hAnsi="宋体"/>
          <w:sz w:val="24"/>
          <w:u w:val="single"/>
          <w:lang w:val="en-US" w:eastAsia="zh-CN"/>
        </w:rPr>
        <w:t xml:space="preserve">         </w:t>
      </w:r>
      <w:r>
        <w:rPr>
          <w:rFonts w:hint="eastAsia" w:ascii="宋体" w:hAnsi="宋体"/>
          <w:sz w:val="24"/>
        </w:rPr>
        <w:t xml:space="preserve">。  </w:t>
      </w:r>
      <w:bookmarkStart w:id="23" w:name="_Toc318581157"/>
      <w:bookmarkEnd w:id="23"/>
    </w:p>
    <w:p w14:paraId="46C3812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1.10.4超大件和超重件的运输</w:t>
      </w:r>
    </w:p>
    <w:p w14:paraId="4B203F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运输超大件或超重件所需的道路和桥梁临时加固改造费用和其他有关费用由</w:t>
      </w:r>
      <w:r>
        <w:rPr>
          <w:rFonts w:hint="eastAsia" w:ascii="宋体" w:hAnsi="宋体"/>
          <w:sz w:val="24"/>
          <w:u w:val="single"/>
        </w:rPr>
        <w:t xml:space="preserve"> </w:t>
      </w:r>
      <w:r>
        <w:rPr>
          <w:rFonts w:hint="eastAsia" w:ascii="宋体" w:hAnsi="宋体"/>
          <w:spacing w:val="14"/>
          <w:kern w:val="2"/>
          <w:sz w:val="24"/>
          <w:u w:val="single"/>
        </w:rPr>
        <w:t>承包方承担</w:t>
      </w:r>
      <w:r>
        <w:rPr>
          <w:rFonts w:hint="eastAsia" w:ascii="宋体" w:hAnsi="宋体"/>
          <w:sz w:val="24"/>
          <w:u w:val="single"/>
        </w:rPr>
        <w:t xml:space="preserve"> </w:t>
      </w:r>
      <w:r>
        <w:rPr>
          <w:rFonts w:hint="eastAsia" w:ascii="宋体" w:hAnsi="宋体"/>
          <w:sz w:val="24"/>
        </w:rPr>
        <w:t>承担。</w:t>
      </w:r>
    </w:p>
    <w:p w14:paraId="78C32C3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1.11 知识产权</w:t>
      </w:r>
    </w:p>
    <w:p w14:paraId="74974F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45658EAD">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关于发包人提供的上述文件的使用限制的要求：</w:t>
      </w:r>
      <w:r>
        <w:rPr>
          <w:rFonts w:hint="eastAsia" w:ascii="宋体" w:hAnsi="宋体"/>
          <w:sz w:val="24"/>
          <w:u w:val="single"/>
        </w:rPr>
        <w:t xml:space="preserve">   </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1873FF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1.11.2 关于承包人为实施工程所编制文件的著作权的归属：</w:t>
      </w:r>
      <w:r>
        <w:rPr>
          <w:rFonts w:hint="eastAsia" w:ascii="宋体" w:hAnsi="宋体"/>
          <w:kern w:val="2"/>
          <w:sz w:val="24"/>
          <w:u w:val="single"/>
        </w:rPr>
        <w:t xml:space="preserve">执行通用条款 </w:t>
      </w:r>
      <w:r>
        <w:rPr>
          <w:rFonts w:hint="eastAsia" w:ascii="宋体" w:hAnsi="宋体"/>
          <w:sz w:val="24"/>
        </w:rPr>
        <w:t>。</w:t>
      </w:r>
    </w:p>
    <w:p w14:paraId="33939B43">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关于承包人提供的上述文件的使用限制的要求：</w:t>
      </w:r>
      <w:r>
        <w:rPr>
          <w:rFonts w:hint="eastAsia" w:ascii="宋体" w:hAnsi="宋体"/>
          <w:sz w:val="24"/>
          <w:u w:val="single"/>
        </w:rPr>
        <w:t></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37CD3D3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1.11.4 承包人在施工过程中所采用的专利、专有技术、技术秘密的使用费的承担方式：</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     </w:t>
      </w:r>
      <w:r>
        <w:rPr>
          <w:rFonts w:hint="eastAsia" w:ascii="宋体" w:hAnsi="宋体"/>
          <w:sz w:val="24"/>
        </w:rPr>
        <w:t>。</w:t>
      </w:r>
    </w:p>
    <w:p w14:paraId="490C990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1.13工程量清单错误的修正</w:t>
      </w:r>
    </w:p>
    <w:p w14:paraId="402C609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出现工程量清单错误时，是否调整合同价格：</w:t>
      </w:r>
      <w:r>
        <w:rPr>
          <w:rFonts w:hint="eastAsia" w:ascii="宋体" w:hAnsi="宋体"/>
          <w:sz w:val="24"/>
          <w:u w:val="single"/>
        </w:rPr>
        <w:t xml:space="preserve">    按《陕西省建设工程工程量清单计价规则（2009）》  </w:t>
      </w:r>
      <w:r>
        <w:rPr>
          <w:rFonts w:hint="eastAsia" w:ascii="宋体" w:hAnsi="宋体"/>
          <w:sz w:val="24"/>
        </w:rPr>
        <w:t>。</w:t>
      </w:r>
    </w:p>
    <w:p w14:paraId="388D5AAB">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允许调整合同价格的工程量偏差范围：</w:t>
      </w:r>
      <w:r>
        <w:rPr>
          <w:rFonts w:hint="eastAsia" w:ascii="宋体" w:hAnsi="宋体"/>
          <w:sz w:val="24"/>
          <w:u w:val="single"/>
        </w:rPr>
        <w:t xml:space="preserve"> 按《陕西省建设工程工程量清单计价规则（2009）》  </w:t>
      </w:r>
      <w:r>
        <w:rPr>
          <w:rFonts w:hint="eastAsia" w:ascii="宋体" w:hAnsi="宋体"/>
          <w:sz w:val="24"/>
        </w:rPr>
        <w:t>。</w:t>
      </w:r>
    </w:p>
    <w:p w14:paraId="7F1CB08F">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4" w:name="_Toc351203634"/>
      <w:bookmarkEnd w:id="24"/>
      <w:r>
        <w:rPr>
          <w:rFonts w:hint="eastAsia" w:ascii="宋体" w:hAnsi="宋体"/>
          <w:sz w:val="24"/>
        </w:rPr>
        <w:t>2</w:t>
      </w:r>
      <w:bookmarkStart w:id="25" w:name="_Toc296346658"/>
      <w:bookmarkEnd w:id="25"/>
      <w:bookmarkStart w:id="26" w:name="_Toc296944496"/>
      <w:bookmarkEnd w:id="26"/>
      <w:bookmarkStart w:id="27" w:name="_Toc296891197"/>
      <w:bookmarkEnd w:id="27"/>
      <w:bookmarkStart w:id="28" w:name="_Toc296347156"/>
      <w:bookmarkEnd w:id="28"/>
      <w:bookmarkStart w:id="29" w:name="_Toc296503157"/>
      <w:bookmarkEnd w:id="29"/>
      <w:bookmarkStart w:id="30" w:name="_Toc292559362"/>
      <w:bookmarkEnd w:id="30"/>
      <w:bookmarkStart w:id="31" w:name="_Toc297048343"/>
      <w:bookmarkEnd w:id="31"/>
      <w:bookmarkStart w:id="32" w:name="_Toc296890985"/>
      <w:bookmarkEnd w:id="32"/>
      <w:bookmarkStart w:id="33" w:name="_Toc292559867"/>
      <w:bookmarkEnd w:id="33"/>
      <w:bookmarkStart w:id="34" w:name="_Toc297120457"/>
      <w:r>
        <w:rPr>
          <w:rFonts w:hint="eastAsia" w:ascii="宋体" w:hAnsi="宋体"/>
          <w:sz w:val="24"/>
        </w:rPr>
        <w:t>. 发包人</w:t>
      </w:r>
      <w:bookmarkEnd w:id="34"/>
    </w:p>
    <w:p w14:paraId="6292113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2.2 发包人代表</w:t>
      </w:r>
    </w:p>
    <w:p w14:paraId="17B7B4D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发包人代表：</w:t>
      </w:r>
    </w:p>
    <w:p w14:paraId="501FDC5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04CCE7A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xml:space="preserve"> 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57F48D1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234EDB7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 </w:t>
      </w:r>
      <w:r>
        <w:rPr>
          <w:rFonts w:hint="eastAsia" w:ascii="宋体" w:hAnsi="宋体"/>
          <w:sz w:val="24"/>
        </w:rPr>
        <w:t>；</w:t>
      </w:r>
    </w:p>
    <w:p w14:paraId="5B3E66D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  </w:t>
      </w:r>
      <w:r>
        <w:rPr>
          <w:rFonts w:hint="eastAsia" w:ascii="宋体" w:hAnsi="宋体"/>
          <w:sz w:val="24"/>
        </w:rPr>
        <w:t>；</w:t>
      </w:r>
    </w:p>
    <w:p w14:paraId="40B3AE4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A4267B9">
      <w:pPr>
        <w:keepNext w:val="0"/>
        <w:keepLines w:val="0"/>
        <w:pageBreakBefore w:val="0"/>
        <w:kinsoku/>
        <w:wordWrap/>
        <w:overflowPunct/>
        <w:topLinePunct w:val="0"/>
        <w:bidi w:val="0"/>
        <w:spacing w:line="400" w:lineRule="exact"/>
        <w:textAlignment w:val="auto"/>
        <w:outlineLvl w:val="9"/>
        <w:rPr>
          <w:rFonts w:hint="eastAsia" w:ascii="宋体" w:hAnsi="宋体"/>
          <w:b/>
          <w:bCs/>
          <w:sz w:val="24"/>
        </w:rPr>
      </w:pPr>
      <w:r>
        <w:rPr>
          <w:rFonts w:hint="eastAsia" w:ascii="宋体" w:hAnsi="宋体"/>
          <w:sz w:val="24"/>
        </w:rPr>
        <w:t>发包人对发包人代表的授权范围如下：</w:t>
      </w:r>
      <w:r>
        <w:rPr>
          <w:rFonts w:hint="eastAsia" w:ascii="宋体" w:hAnsi="宋体"/>
          <w:sz w:val="24"/>
          <w:u w:val="single"/>
        </w:rPr>
        <w:t></w:t>
      </w:r>
      <w:r>
        <w:rPr>
          <w:rFonts w:hint="eastAsia" w:ascii="宋体" w:hAnsi="宋体"/>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sz w:val="24"/>
          <w:u w:val="single"/>
        </w:rPr>
        <w:t xml:space="preserve">   </w:t>
      </w:r>
      <w:r>
        <w:rPr>
          <w:rFonts w:hint="eastAsia" w:ascii="宋体" w:hAnsi="宋体"/>
          <w:sz w:val="24"/>
        </w:rPr>
        <w:t>。</w:t>
      </w:r>
    </w:p>
    <w:p w14:paraId="5D91D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2.4 施工现场、施工条件和基础资料的提供</w:t>
      </w:r>
    </w:p>
    <w:p w14:paraId="2489BEE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2.4.1 提供施工现场</w:t>
      </w:r>
    </w:p>
    <w:p w14:paraId="7B9D82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关于发包人移交施工现场的期限要求：</w:t>
      </w:r>
      <w:r>
        <w:rPr>
          <w:rFonts w:hint="eastAsia" w:ascii="宋体" w:hAnsi="宋体"/>
          <w:sz w:val="24"/>
          <w:u w:val="single"/>
        </w:rPr>
        <w:t xml:space="preserve">   </w:t>
      </w:r>
      <w:r>
        <w:rPr>
          <w:rFonts w:hint="eastAsia" w:ascii="宋体" w:hAnsi="宋体"/>
          <w:kern w:val="2"/>
          <w:sz w:val="24"/>
          <w:u w:val="single"/>
        </w:rPr>
        <w:t>部分施工场地于合同签约日期以前完成，满足部分工程开工条件</w:t>
      </w:r>
      <w:r>
        <w:rPr>
          <w:rFonts w:hint="eastAsia" w:ascii="宋体" w:hAnsi="宋体"/>
          <w:sz w:val="24"/>
          <w:u w:val="single"/>
        </w:rPr>
        <w:t xml:space="preserve">    </w:t>
      </w:r>
      <w:r>
        <w:rPr>
          <w:rFonts w:hint="eastAsia" w:ascii="宋体" w:hAnsi="宋体"/>
          <w:sz w:val="24"/>
        </w:rPr>
        <w:t>。</w:t>
      </w:r>
    </w:p>
    <w:p w14:paraId="4FA60B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2.4.2 提供施工条件</w:t>
      </w:r>
    </w:p>
    <w:p w14:paraId="52DFD9A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关于发包人应负责提供施工所需要的条件，包括：</w:t>
      </w:r>
      <w:r>
        <w:rPr>
          <w:rFonts w:hint="eastAsia" w:ascii="宋体" w:hAnsi="宋体"/>
          <w:sz w:val="24"/>
          <w:u w:val="single"/>
        </w:rPr>
        <w:t xml:space="preserve">  </w:t>
      </w:r>
      <w:r>
        <w:rPr>
          <w:rFonts w:hint="eastAsia" w:ascii="宋体" w:hAnsi="宋体"/>
          <w:kern w:val="2"/>
          <w:sz w:val="24"/>
          <w:u w:val="single"/>
        </w:rPr>
        <w:t>施工用水、施工用电由发包方指定接点，并满足施工要求，接点至施工现场段管道/管线、计量设备由承包人自行解决，承包人每月底向发包人缴纳水电费（价格执行施工当地价格）</w:t>
      </w:r>
      <w:r>
        <w:rPr>
          <w:rFonts w:hint="eastAsia" w:ascii="宋体" w:hAnsi="宋体"/>
          <w:sz w:val="24"/>
          <w:u w:val="single"/>
        </w:rPr>
        <w:t xml:space="preserve">    </w:t>
      </w:r>
      <w:r>
        <w:rPr>
          <w:rFonts w:hint="eastAsia" w:ascii="宋体" w:hAnsi="宋体"/>
          <w:sz w:val="24"/>
        </w:rPr>
        <w:t>。</w:t>
      </w:r>
    </w:p>
    <w:p w14:paraId="6219005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2.5 资金来源证明及支付担保</w:t>
      </w:r>
    </w:p>
    <w:p w14:paraId="66F248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发包人提供资金来源证明的期限要求：</w:t>
      </w:r>
      <w:r>
        <w:rPr>
          <w:rFonts w:hint="eastAsia" w:ascii="宋体" w:hAnsi="宋体"/>
          <w:sz w:val="24"/>
          <w:u w:val="single"/>
        </w:rPr>
        <w:t xml:space="preserve">        /                    </w:t>
      </w:r>
      <w:r>
        <w:rPr>
          <w:rFonts w:hint="eastAsia" w:ascii="宋体" w:hAnsi="宋体"/>
          <w:sz w:val="24"/>
        </w:rPr>
        <w:t>。</w:t>
      </w:r>
    </w:p>
    <w:p w14:paraId="722A727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发包人是否提供支付担保：</w:t>
      </w:r>
      <w:r>
        <w:rPr>
          <w:rFonts w:hint="eastAsia" w:ascii="宋体" w:hAnsi="宋体"/>
          <w:sz w:val="24"/>
          <w:u w:val="single"/>
        </w:rPr>
        <w:t xml:space="preserve">                   /               </w:t>
      </w:r>
      <w:r>
        <w:rPr>
          <w:rFonts w:hint="eastAsia" w:ascii="宋体" w:hAnsi="宋体"/>
          <w:sz w:val="24"/>
        </w:rPr>
        <w:t>。</w:t>
      </w:r>
    </w:p>
    <w:p w14:paraId="67290AB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发包人提供支付担保的形式：</w:t>
      </w:r>
      <w:r>
        <w:rPr>
          <w:rFonts w:hint="eastAsia" w:ascii="宋体" w:hAnsi="宋体"/>
          <w:sz w:val="24"/>
          <w:u w:val="single"/>
        </w:rPr>
        <w:t>                 /                 </w:t>
      </w:r>
      <w:r>
        <w:rPr>
          <w:rFonts w:hint="eastAsia" w:ascii="宋体" w:hAnsi="宋体"/>
          <w:sz w:val="24"/>
        </w:rPr>
        <w:t>。</w:t>
      </w:r>
    </w:p>
    <w:p w14:paraId="03A2561E">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5" w:name="_Toc351203635"/>
      <w:bookmarkEnd w:id="35"/>
      <w:r>
        <w:rPr>
          <w:rFonts w:hint="eastAsia" w:ascii="宋体" w:hAnsi="宋体"/>
          <w:sz w:val="24"/>
        </w:rPr>
        <w:t>3</w:t>
      </w:r>
      <w:bookmarkStart w:id="36" w:name="_Toc296346659"/>
      <w:bookmarkEnd w:id="36"/>
      <w:bookmarkStart w:id="37" w:name="_Toc296503158"/>
      <w:bookmarkEnd w:id="37"/>
      <w:bookmarkStart w:id="38" w:name="_Toc297048344"/>
      <w:bookmarkEnd w:id="38"/>
      <w:bookmarkStart w:id="39" w:name="_Toc292559363"/>
      <w:bookmarkEnd w:id="39"/>
      <w:bookmarkStart w:id="40" w:name="_Toc296347157"/>
      <w:bookmarkEnd w:id="40"/>
      <w:bookmarkStart w:id="41" w:name="_Toc296944497"/>
      <w:bookmarkEnd w:id="41"/>
      <w:bookmarkStart w:id="42" w:name="_Toc296891198"/>
      <w:bookmarkEnd w:id="42"/>
      <w:bookmarkStart w:id="43" w:name="_Toc297120458"/>
      <w:bookmarkEnd w:id="43"/>
      <w:bookmarkStart w:id="44" w:name="_Toc296890986"/>
      <w:bookmarkEnd w:id="44"/>
      <w:bookmarkStart w:id="45" w:name="_Toc292559868"/>
      <w:r>
        <w:rPr>
          <w:rFonts w:hint="eastAsia" w:ascii="宋体" w:hAnsi="宋体"/>
          <w:sz w:val="24"/>
        </w:rPr>
        <w:t>. 承包人</w:t>
      </w:r>
      <w:bookmarkEnd w:id="45"/>
    </w:p>
    <w:p w14:paraId="69B4AF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3.1 承包人的一般义务</w:t>
      </w:r>
    </w:p>
    <w:p w14:paraId="0FC9B0C2">
      <w:pPr>
        <w:keepNext w:val="0"/>
        <w:keepLines w:val="0"/>
        <w:pageBreakBefore w:val="0"/>
        <w:kinsoku/>
        <w:wordWrap/>
        <w:overflowPunct/>
        <w:topLinePunct w:val="0"/>
        <w:bidi w:val="0"/>
        <w:spacing w:line="400" w:lineRule="exact"/>
        <w:ind w:firstLine="240" w:firstLineChars="100"/>
        <w:jc w:val="left"/>
        <w:textAlignment w:val="auto"/>
        <w:outlineLvl w:val="9"/>
        <w:rPr>
          <w:rFonts w:hint="eastAsia" w:ascii="宋体" w:hAnsi="宋体"/>
          <w:sz w:val="24"/>
        </w:rPr>
      </w:pPr>
      <w:r>
        <w:rPr>
          <w:rFonts w:hint="eastAsia" w:ascii="宋体" w:hAnsi="宋体"/>
          <w:sz w:val="24"/>
        </w:rPr>
        <w:t>（9）承包人提交的竣工资料的内容：</w:t>
      </w:r>
      <w:r>
        <w:rPr>
          <w:rFonts w:hint="eastAsia" w:ascii="宋体" w:hAnsi="宋体"/>
          <w:sz w:val="24"/>
          <w:u w:val="single"/>
        </w:rPr>
        <w:t xml:space="preserve">   承包人向发包人提交完整竣工图纸及竣工图电子文档  </w:t>
      </w:r>
      <w:r>
        <w:rPr>
          <w:rFonts w:hint="eastAsia" w:ascii="宋体" w:hAnsi="宋体"/>
          <w:sz w:val="24"/>
        </w:rPr>
        <w:t>。</w:t>
      </w:r>
    </w:p>
    <w:p w14:paraId="22C88685">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承包人需要提交的竣工资料套数：</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四套                </w:t>
      </w:r>
      <w:r>
        <w:rPr>
          <w:rFonts w:hint="eastAsia" w:ascii="宋体" w:hAnsi="宋体"/>
          <w:sz w:val="24"/>
        </w:rPr>
        <w:t>。</w:t>
      </w:r>
    </w:p>
    <w:p w14:paraId="7C50C21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承包人提交的竣工资料的费用承担：</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7C779694">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承包人提交的竣工资料移交时间：</w:t>
      </w:r>
      <w:r>
        <w:rPr>
          <w:rFonts w:hint="eastAsia" w:ascii="宋体" w:hAnsi="宋体"/>
          <w:sz w:val="24"/>
          <w:u w:val="single"/>
        </w:rPr>
        <w:t xml:space="preserve">  </w:t>
      </w:r>
      <w:r>
        <w:rPr>
          <w:rFonts w:hint="eastAsia" w:ascii="宋体" w:hAnsi="宋体"/>
          <w:kern w:val="2"/>
          <w:sz w:val="24"/>
          <w:u w:val="single"/>
        </w:rPr>
        <w:t>工程竣工验收合格后2个月内</w:t>
      </w:r>
      <w:r>
        <w:rPr>
          <w:rFonts w:hint="eastAsia" w:ascii="宋体" w:hAnsi="宋体"/>
          <w:sz w:val="24"/>
          <w:u w:val="single"/>
        </w:rPr>
        <w:t xml:space="preserve">        </w:t>
      </w:r>
      <w:r>
        <w:rPr>
          <w:rFonts w:hint="eastAsia" w:ascii="宋体" w:hAnsi="宋体"/>
          <w:sz w:val="24"/>
        </w:rPr>
        <w:t>。</w:t>
      </w:r>
    </w:p>
    <w:p w14:paraId="19BF0F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承包人提交的竣工资料形式要求：</w:t>
      </w:r>
      <w:r>
        <w:rPr>
          <w:rFonts w:hint="eastAsia" w:ascii="宋体" w:hAnsi="宋体"/>
          <w:sz w:val="24"/>
          <w:u w:val="single"/>
        </w:rPr>
        <w:t xml:space="preserve">            </w:t>
      </w:r>
      <w:r>
        <w:rPr>
          <w:rFonts w:hint="eastAsia" w:ascii="宋体" w:hAnsi="宋体"/>
          <w:kern w:val="2"/>
          <w:sz w:val="24"/>
          <w:u w:val="single"/>
        </w:rPr>
        <w:t>书面及电子文档</w:t>
      </w:r>
      <w:r>
        <w:rPr>
          <w:rFonts w:hint="eastAsia" w:ascii="宋体" w:hAnsi="宋体"/>
          <w:sz w:val="24"/>
          <w:u w:val="single"/>
        </w:rPr>
        <w:t xml:space="preserve">           </w:t>
      </w:r>
      <w:r>
        <w:rPr>
          <w:rFonts w:hint="eastAsia" w:ascii="宋体" w:hAnsi="宋体"/>
          <w:sz w:val="24"/>
        </w:rPr>
        <w:t>。</w:t>
      </w:r>
    </w:p>
    <w:p w14:paraId="6151C138">
      <w:pPr>
        <w:keepNext w:val="0"/>
        <w:keepLines w:val="0"/>
        <w:pageBreakBefore w:val="0"/>
        <w:kinsoku/>
        <w:wordWrap/>
        <w:overflowPunct/>
        <w:topLinePunct w:val="0"/>
        <w:bidi w:val="0"/>
        <w:spacing w:line="400" w:lineRule="exact"/>
        <w:ind w:firstLine="480" w:firstLineChars="200"/>
        <w:textAlignment w:val="auto"/>
        <w:outlineLvl w:val="9"/>
        <w:rPr>
          <w:rFonts w:ascii="宋体" w:hAnsi="宋体"/>
          <w:sz w:val="24"/>
          <w:highlight w:val="none"/>
        </w:rPr>
      </w:pPr>
      <w:r>
        <w:rPr>
          <w:rFonts w:hint="eastAsia" w:ascii="宋体" w:hAnsi="宋体"/>
          <w:sz w:val="24"/>
          <w:highlight w:val="none"/>
        </w:rPr>
        <w:t>（10）承包人应履行的其他义务：</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5D8B967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3.2 项目经理</w:t>
      </w:r>
    </w:p>
    <w:p w14:paraId="08EE573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3.2.1 项目经理：</w:t>
      </w:r>
    </w:p>
    <w:p w14:paraId="709A8EB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7532654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       </w:t>
      </w:r>
      <w:r>
        <w:rPr>
          <w:rFonts w:hint="eastAsia" w:ascii="宋体" w:hAnsi="宋体"/>
          <w:sz w:val="24"/>
        </w:rPr>
        <w:t>；</w:t>
      </w:r>
    </w:p>
    <w:p w14:paraId="3F2704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建造师执业资格等级：</w:t>
      </w:r>
      <w:r>
        <w:rPr>
          <w:rFonts w:hint="eastAsia" w:ascii="宋体" w:hAnsi="宋体"/>
          <w:sz w:val="24"/>
          <w:u w:val="single"/>
        </w:rPr>
        <w:t>   </w:t>
      </w:r>
      <w:r>
        <w:rPr>
          <w:rFonts w:hint="eastAsia" w:ascii="宋体" w:hAnsi="宋体"/>
          <w:sz w:val="24"/>
        </w:rPr>
        <w:t>；</w:t>
      </w:r>
    </w:p>
    <w:p w14:paraId="4D8A31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建造师注册证书号：</w:t>
      </w:r>
      <w:r>
        <w:rPr>
          <w:rFonts w:hint="eastAsia" w:ascii="宋体" w:hAnsi="宋体"/>
          <w:sz w:val="24"/>
          <w:u w:val="single"/>
        </w:rPr>
        <w:t> </w:t>
      </w:r>
      <w:r>
        <w:rPr>
          <w:rFonts w:hint="eastAsia" w:ascii="宋体" w:hAnsi="宋体"/>
          <w:sz w:val="24"/>
        </w:rPr>
        <w:t>；</w:t>
      </w:r>
    </w:p>
    <w:p w14:paraId="765A72D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建造师执业印章号：</w:t>
      </w:r>
      <w:r>
        <w:rPr>
          <w:rFonts w:hint="eastAsia" w:ascii="宋体" w:hAnsi="宋体"/>
          <w:sz w:val="24"/>
          <w:u w:val="single"/>
        </w:rPr>
        <w:t> </w:t>
      </w:r>
      <w:r>
        <w:rPr>
          <w:rFonts w:hint="eastAsia" w:ascii="宋体" w:hAnsi="宋体"/>
          <w:sz w:val="24"/>
        </w:rPr>
        <w:t>；</w:t>
      </w:r>
    </w:p>
    <w:p w14:paraId="5A90DE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安全生产考核合格证书号：</w:t>
      </w:r>
      <w:r>
        <w:rPr>
          <w:rFonts w:hint="eastAsia" w:ascii="宋体" w:hAnsi="宋体"/>
          <w:sz w:val="24"/>
          <w:u w:val="single"/>
        </w:rPr>
        <w:t> </w:t>
      </w:r>
      <w:r>
        <w:rPr>
          <w:rFonts w:hint="eastAsia" w:ascii="宋体" w:hAnsi="宋体"/>
          <w:sz w:val="24"/>
        </w:rPr>
        <w:t>；</w:t>
      </w:r>
    </w:p>
    <w:p w14:paraId="4002CB4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543041F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49FB12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23007B5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承包人对项目经理的授权范围如下：</w:t>
      </w:r>
      <w:r>
        <w:rPr>
          <w:rFonts w:hint="eastAsia" w:ascii="宋体" w:hAnsi="宋体"/>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sz w:val="24"/>
        </w:rPr>
        <w:t>。</w:t>
      </w:r>
    </w:p>
    <w:p w14:paraId="11EE8CF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关于项目经理每月在施工现场的时间要求：</w:t>
      </w:r>
      <w:r>
        <w:rPr>
          <w:rFonts w:hint="eastAsia" w:ascii="宋体" w:hAnsi="宋体"/>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sz w:val="24"/>
        </w:rPr>
        <w:t>。</w:t>
      </w:r>
    </w:p>
    <w:p w14:paraId="7F52ECA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承包人未提交劳动合同，以及没有为项目经理缴纳社会保险证明的违约责任：</w:t>
      </w:r>
      <w:r>
        <w:rPr>
          <w:rFonts w:hint="eastAsia" w:ascii="宋体" w:hAnsi="宋体"/>
          <w:sz w:val="24"/>
          <w:u w:val="single"/>
        </w:rPr>
        <w:t xml:space="preserve">      </w:t>
      </w:r>
      <w:r>
        <w:rPr>
          <w:rFonts w:hint="eastAsia" w:ascii="宋体" w:hAnsi="宋体"/>
          <w:kern w:val="2"/>
          <w:sz w:val="24"/>
          <w:u w:val="single"/>
        </w:rPr>
        <w:t>处以3000元罚款，责令限期提交劳动合同并补缴社会保险。</w:t>
      </w:r>
    </w:p>
    <w:p w14:paraId="316658B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项目经理未经批准，擅自离开施工现场的违约责任：</w:t>
      </w:r>
      <w:r>
        <w:rPr>
          <w:rFonts w:hint="eastAsia" w:ascii="宋体" w:hAnsi="宋体"/>
          <w:sz w:val="24"/>
          <w:u w:val="single"/>
        </w:rPr>
        <w:t xml:space="preserve">  </w:t>
      </w:r>
      <w:r>
        <w:rPr>
          <w:rFonts w:hint="eastAsia" w:ascii="宋体" w:hAnsi="宋体"/>
          <w:kern w:val="2"/>
          <w:sz w:val="24"/>
          <w:u w:val="single"/>
        </w:rPr>
        <w:t>处以500元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F66BF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3.2.3 承包人擅自更换项目经理的违约责任：</w:t>
      </w:r>
      <w:r>
        <w:rPr>
          <w:rFonts w:hint="eastAsia" w:ascii="宋体" w:hAnsi="宋体"/>
          <w:sz w:val="24"/>
          <w:u w:val="single"/>
        </w:rPr>
        <w:t xml:space="preserve">  </w:t>
      </w:r>
      <w:r>
        <w:rPr>
          <w:rFonts w:hint="eastAsia" w:ascii="宋体" w:hAnsi="宋体" w:eastAsia="宋体" w:cs="宋体"/>
          <w:b w:val="0"/>
          <w:bCs/>
          <w:kern w:val="2"/>
          <w:sz w:val="24"/>
          <w:u w:val="single"/>
          <w:lang w:eastAsia="zh-CN"/>
        </w:rPr>
        <w:t>严禁擅自更换项目经理</w:t>
      </w:r>
      <w:r>
        <w:rPr>
          <w:rFonts w:hint="eastAsia" w:ascii="宋体" w:hAnsi="宋体"/>
          <w:sz w:val="24"/>
          <w:u w:val="single"/>
        </w:rPr>
        <w:t xml:space="preserve">  </w:t>
      </w:r>
      <w:r>
        <w:rPr>
          <w:rFonts w:hint="eastAsia" w:ascii="宋体" w:hAnsi="宋体"/>
          <w:sz w:val="24"/>
        </w:rPr>
        <w:t>。</w:t>
      </w:r>
    </w:p>
    <w:p w14:paraId="31903026">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3.2.4 承包人无正当理由拒绝</w:t>
      </w:r>
      <w:r>
        <w:rPr>
          <w:rFonts w:hint="eastAsia" w:ascii="宋体" w:hAnsi="宋体"/>
          <w:kern w:val="2"/>
          <w:sz w:val="24"/>
        </w:rPr>
        <w:t>更换经甲方及监理总监认为不称职的项目经理的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处以1万元罚款，承包人承担上述违约给发包人造成的一切损失。</w:t>
      </w:r>
    </w:p>
    <w:p w14:paraId="305CDC3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3.3 承包人人员</w:t>
      </w:r>
    </w:p>
    <w:p w14:paraId="716E70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3.3.1 承包人提交项目管理机构及施工现场管理人员安排报告的期限：</w:t>
      </w:r>
      <w:r>
        <w:rPr>
          <w:rFonts w:hint="eastAsia" w:ascii="宋体" w:hAnsi="宋体"/>
          <w:sz w:val="24"/>
          <w:u w:val="single"/>
        </w:rPr>
        <w:t xml:space="preserve"> </w:t>
      </w:r>
      <w:r>
        <w:rPr>
          <w:rFonts w:hint="eastAsia" w:ascii="宋体" w:hAnsi="宋体"/>
          <w:kern w:val="2"/>
          <w:sz w:val="24"/>
          <w:u w:val="single"/>
        </w:rPr>
        <w:t>工程开工前2天</w:t>
      </w:r>
      <w:r>
        <w:rPr>
          <w:rFonts w:hint="eastAsia" w:ascii="宋体" w:hAnsi="宋体"/>
          <w:sz w:val="24"/>
          <w:u w:val="single"/>
        </w:rPr>
        <w:t xml:space="preserve"> </w:t>
      </w:r>
      <w:r>
        <w:rPr>
          <w:rFonts w:hint="eastAsia" w:ascii="宋体" w:hAnsi="宋体"/>
          <w:sz w:val="24"/>
        </w:rPr>
        <w:t>。</w:t>
      </w:r>
    </w:p>
    <w:p w14:paraId="6589F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3.3.3 承包人无正当理由</w:t>
      </w:r>
      <w:r>
        <w:rPr>
          <w:rFonts w:hint="eastAsia" w:ascii="宋体" w:hAnsi="宋体"/>
          <w:kern w:val="2"/>
          <w:sz w:val="24"/>
        </w:rPr>
        <w:t>拒绝撤换经甲方及监理总监认为不称职的主要施工管理人员的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p>
    <w:p w14:paraId="560F537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 xml:space="preserve">3.3.4 承包人主要施工管理人员离开施工现场的批准要求： </w:t>
      </w:r>
      <w:r>
        <w:rPr>
          <w:rFonts w:hint="eastAsia" w:ascii="宋体" w:hAnsi="宋体"/>
          <w:sz w:val="24"/>
          <w:u w:val="single"/>
        </w:rPr>
        <w:t xml:space="preserve"> </w:t>
      </w:r>
      <w:r>
        <w:rPr>
          <w:rFonts w:hint="eastAsia" w:ascii="宋体" w:hAnsi="宋体"/>
          <w:kern w:val="2"/>
          <w:sz w:val="24"/>
          <w:u w:val="single"/>
        </w:rPr>
        <w:t>由总监理工程师批准，发包人认可后方可离开</w:t>
      </w:r>
      <w:r>
        <w:rPr>
          <w:rFonts w:hint="eastAsia" w:ascii="宋体" w:hAnsi="宋体"/>
          <w:sz w:val="24"/>
          <w:u w:val="single"/>
        </w:rPr>
        <w:t xml:space="preserve">  </w:t>
      </w:r>
      <w:r>
        <w:rPr>
          <w:rFonts w:hint="eastAsia" w:ascii="宋体" w:hAnsi="宋体"/>
          <w:sz w:val="24"/>
        </w:rPr>
        <w:t>。</w:t>
      </w:r>
    </w:p>
    <w:p w14:paraId="4E6D146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3.3.5承包人擅自更换主要施工管理人员的违约责任：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r>
        <w:rPr>
          <w:rFonts w:hint="eastAsia" w:ascii="宋体" w:hAnsi="宋体"/>
          <w:sz w:val="24"/>
        </w:rPr>
        <w:t>。</w:t>
      </w:r>
    </w:p>
    <w:p w14:paraId="600FD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承包人主要施工管理人员擅自离开施工现场的违约责任：</w:t>
      </w:r>
      <w:r>
        <w:rPr>
          <w:rFonts w:hint="eastAsia" w:ascii="宋体" w:hAnsi="宋体"/>
          <w:sz w:val="24"/>
          <w:u w:val="single"/>
        </w:rPr>
        <w:t xml:space="preserve"> </w:t>
      </w:r>
      <w:r>
        <w:rPr>
          <w:rFonts w:hint="eastAsia" w:ascii="宋体" w:hAnsi="宋体"/>
          <w:kern w:val="2"/>
          <w:sz w:val="24"/>
          <w:u w:val="single"/>
        </w:rPr>
        <w:t>处以300元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7BD8A6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w:t>
      </w:r>
      <w:bookmarkStart w:id="46" w:name="_Toc296503159"/>
      <w:bookmarkEnd w:id="46"/>
      <w:bookmarkStart w:id="47" w:name="_Toc297123492"/>
      <w:bookmarkEnd w:id="47"/>
      <w:bookmarkStart w:id="48" w:name="_Toc292559869"/>
      <w:bookmarkEnd w:id="48"/>
      <w:bookmarkStart w:id="49" w:name="_Toc304295523"/>
      <w:bookmarkEnd w:id="49"/>
      <w:bookmarkStart w:id="50" w:name="_Toc292559364"/>
      <w:bookmarkEnd w:id="50"/>
      <w:bookmarkStart w:id="51" w:name="_Toc297120459"/>
      <w:bookmarkEnd w:id="51"/>
      <w:bookmarkStart w:id="52" w:name="_Toc297048345"/>
      <w:bookmarkEnd w:id="52"/>
      <w:bookmarkStart w:id="53" w:name="_Toc296891199"/>
      <w:bookmarkEnd w:id="53"/>
      <w:bookmarkStart w:id="54" w:name="_Toc297216151"/>
      <w:bookmarkEnd w:id="54"/>
      <w:bookmarkStart w:id="55" w:name="_Toc296346660"/>
      <w:bookmarkEnd w:id="55"/>
      <w:bookmarkStart w:id="56" w:name="_Toc300934945"/>
      <w:bookmarkEnd w:id="56"/>
      <w:bookmarkStart w:id="57" w:name="_Toc296347158"/>
      <w:bookmarkEnd w:id="57"/>
      <w:bookmarkStart w:id="58" w:name="_Toc296944498"/>
      <w:bookmarkEnd w:id="58"/>
      <w:bookmarkStart w:id="59" w:name="_Toc303539102"/>
      <w:bookmarkEnd w:id="59"/>
      <w:bookmarkStart w:id="60" w:name="_Toc296890987"/>
      <w:bookmarkEnd w:id="60"/>
      <w:bookmarkStart w:id="61" w:name="_Toc312677988"/>
      <w:r>
        <w:rPr>
          <w:rFonts w:hint="eastAsia" w:ascii="宋体" w:hAnsi="宋体"/>
          <w:sz w:val="24"/>
        </w:rPr>
        <w:t>.5 分包</w:t>
      </w:r>
      <w:bookmarkEnd w:id="61"/>
    </w:p>
    <w:p w14:paraId="5D8520B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bookmarkStart w:id="62" w:name="_Toc296503160"/>
      <w:bookmarkEnd w:id="62"/>
      <w:bookmarkStart w:id="63" w:name="_Toc304295524"/>
      <w:bookmarkEnd w:id="63"/>
      <w:bookmarkStart w:id="64" w:name="_Toc300934946"/>
      <w:bookmarkEnd w:id="64"/>
      <w:bookmarkStart w:id="65" w:name="_Toc296891200"/>
      <w:bookmarkEnd w:id="65"/>
      <w:bookmarkStart w:id="66" w:name="_Toc292559870"/>
      <w:bookmarkEnd w:id="66"/>
      <w:bookmarkStart w:id="67" w:name="_Toc296890988"/>
      <w:bookmarkEnd w:id="67"/>
      <w:bookmarkStart w:id="68" w:name="_Toc297120460"/>
      <w:bookmarkEnd w:id="68"/>
      <w:bookmarkStart w:id="69" w:name="_Toc292559365"/>
      <w:bookmarkEnd w:id="69"/>
      <w:bookmarkStart w:id="70" w:name="_Toc297123493"/>
      <w:bookmarkEnd w:id="70"/>
      <w:bookmarkStart w:id="71" w:name="_Toc296347159"/>
      <w:bookmarkEnd w:id="71"/>
      <w:bookmarkStart w:id="72" w:name="_Toc297216152"/>
      <w:bookmarkEnd w:id="72"/>
      <w:bookmarkStart w:id="73" w:name="_Toc296944499"/>
      <w:bookmarkEnd w:id="73"/>
      <w:bookmarkStart w:id="74" w:name="_Toc303539103"/>
      <w:bookmarkEnd w:id="74"/>
      <w:bookmarkStart w:id="75" w:name="_Toc297048346"/>
      <w:bookmarkEnd w:id="75"/>
      <w:bookmarkStart w:id="76" w:name="_Toc296346661"/>
      <w:bookmarkEnd w:id="76"/>
      <w:bookmarkStart w:id="77" w:name="_Toc318581158"/>
      <w:bookmarkEnd w:id="77"/>
      <w:bookmarkStart w:id="78" w:name="_Toc312677989"/>
      <w:r>
        <w:rPr>
          <w:rFonts w:hint="eastAsia" w:ascii="宋体" w:hAnsi="宋体"/>
          <w:sz w:val="24"/>
        </w:rPr>
        <w:t>.5.1 分包的一般约定</w:t>
      </w:r>
      <w:bookmarkEnd w:id="78"/>
    </w:p>
    <w:p w14:paraId="3F7FB3A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禁止分包的工程包括：</w:t>
      </w:r>
      <w:r>
        <w:rPr>
          <w:rFonts w:hint="eastAsia" w:ascii="宋体" w:hAnsi="宋体"/>
          <w:sz w:val="24"/>
          <w:u w:val="single"/>
        </w:rPr>
        <w:t xml:space="preserve">  </w:t>
      </w:r>
      <w:r>
        <w:rPr>
          <w:rFonts w:hint="eastAsia" w:ascii="宋体" w:hAnsi="宋体"/>
          <w:kern w:val="2"/>
          <w:sz w:val="24"/>
          <w:u w:val="single"/>
        </w:rPr>
        <w:t xml:space="preserve">本工程不允许分包（发包人划定的分包工程除外），确需分包的，须征得发包人同意 </w:t>
      </w:r>
      <w:r>
        <w:rPr>
          <w:rFonts w:hint="eastAsia" w:ascii="宋体" w:hAnsi="宋体"/>
          <w:sz w:val="24"/>
          <w:u w:val="single"/>
        </w:rPr>
        <w:t xml:space="preserve"> </w:t>
      </w:r>
      <w:r>
        <w:rPr>
          <w:rFonts w:hint="eastAsia" w:ascii="宋体" w:hAnsi="宋体"/>
          <w:sz w:val="24"/>
        </w:rPr>
        <w:t>。</w:t>
      </w:r>
    </w:p>
    <w:p w14:paraId="4DF187F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主体结构、关键性工作的范围：</w:t>
      </w:r>
      <w:r>
        <w:rPr>
          <w:rFonts w:hint="eastAsia" w:ascii="宋体" w:hAnsi="宋体"/>
          <w:sz w:val="24"/>
          <w:u w:val="single"/>
        </w:rPr>
        <w:t xml:space="preserve">                 /                     </w:t>
      </w:r>
      <w:r>
        <w:rPr>
          <w:rFonts w:hint="eastAsia" w:ascii="宋体" w:hAnsi="宋体"/>
          <w:sz w:val="24"/>
        </w:rPr>
        <w:t>。</w:t>
      </w:r>
      <w:bookmarkStart w:id="79" w:name="_Toc296346662"/>
      <w:bookmarkEnd w:id="79"/>
      <w:bookmarkStart w:id="80" w:name="_Toc296944500"/>
      <w:bookmarkEnd w:id="80"/>
      <w:bookmarkStart w:id="81" w:name="_Toc296891201"/>
      <w:bookmarkEnd w:id="81"/>
      <w:bookmarkStart w:id="82" w:name="_Toc296503161"/>
      <w:bookmarkEnd w:id="82"/>
      <w:bookmarkStart w:id="83" w:name="_Toc300934947"/>
      <w:bookmarkEnd w:id="83"/>
      <w:bookmarkStart w:id="84" w:name="_Toc303539104"/>
      <w:bookmarkEnd w:id="84"/>
      <w:bookmarkStart w:id="85" w:name="_Toc297120461"/>
      <w:bookmarkEnd w:id="85"/>
      <w:bookmarkStart w:id="86" w:name="_Toc297123494"/>
      <w:bookmarkEnd w:id="86"/>
      <w:bookmarkStart w:id="87" w:name="_Toc297048347"/>
      <w:bookmarkEnd w:id="87"/>
      <w:bookmarkStart w:id="88" w:name="_Toc297216153"/>
      <w:bookmarkEnd w:id="88"/>
      <w:bookmarkStart w:id="89" w:name="_Toc296890989"/>
      <w:bookmarkEnd w:id="89"/>
      <w:bookmarkStart w:id="90" w:name="_Toc304295525"/>
      <w:bookmarkEnd w:id="90"/>
      <w:bookmarkStart w:id="91" w:name="_Toc296347160"/>
      <w:bookmarkEnd w:id="91"/>
    </w:p>
    <w:p w14:paraId="5CCA5557">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 xml:space="preserve"> 3</w:t>
      </w:r>
      <w:bookmarkStart w:id="92" w:name="_Toc318581159"/>
      <w:bookmarkEnd w:id="92"/>
      <w:bookmarkStart w:id="93" w:name="_Toc312677990"/>
      <w:r>
        <w:rPr>
          <w:rFonts w:hint="eastAsia" w:ascii="宋体" w:hAnsi="宋体"/>
          <w:sz w:val="24"/>
        </w:rPr>
        <w:t>.5.2分包的确定</w:t>
      </w:r>
      <w:bookmarkEnd w:id="93"/>
    </w:p>
    <w:p w14:paraId="1734E8D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允许分包的专业工程包括：</w:t>
      </w:r>
      <w:r>
        <w:rPr>
          <w:rFonts w:hint="eastAsia" w:ascii="宋体" w:hAnsi="宋体"/>
          <w:sz w:val="24"/>
          <w:u w:val="single"/>
        </w:rPr>
        <w:t xml:space="preserve">                 /                     </w:t>
      </w:r>
      <w:r>
        <w:rPr>
          <w:rFonts w:hint="eastAsia" w:ascii="宋体" w:hAnsi="宋体"/>
          <w:sz w:val="24"/>
        </w:rPr>
        <w:t>。</w:t>
      </w:r>
    </w:p>
    <w:p w14:paraId="58A51DD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其他关于分包的约定：</w:t>
      </w:r>
      <w:r>
        <w:rPr>
          <w:rFonts w:hint="eastAsia" w:ascii="宋体" w:hAnsi="宋体"/>
          <w:sz w:val="24"/>
          <w:u w:val="single"/>
        </w:rPr>
        <w:t xml:space="preserve">                        /                      </w:t>
      </w:r>
      <w:r>
        <w:rPr>
          <w:rFonts w:hint="eastAsia" w:ascii="宋体" w:hAnsi="宋体"/>
          <w:sz w:val="24"/>
        </w:rPr>
        <w:t>。</w:t>
      </w:r>
    </w:p>
    <w:p w14:paraId="5AC08D2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3.5.</w:t>
      </w:r>
      <w:r>
        <w:rPr>
          <w:rFonts w:hint="eastAsia" w:ascii="宋体" w:hAnsi="宋体"/>
          <w:sz w:val="24"/>
          <w:lang w:val="en-US" w:eastAsia="zh-CN"/>
        </w:rPr>
        <w:t>4</w:t>
      </w:r>
      <w:r>
        <w:rPr>
          <w:rFonts w:hint="eastAsia" w:ascii="宋体" w:hAnsi="宋体"/>
          <w:sz w:val="24"/>
        </w:rPr>
        <w:t xml:space="preserve"> 分包合同价款</w:t>
      </w:r>
    </w:p>
    <w:p w14:paraId="01EB312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关于分包合同价款支付的约定：</w:t>
      </w:r>
      <w:r>
        <w:rPr>
          <w:rFonts w:hint="eastAsia" w:ascii="宋体" w:hAnsi="宋体"/>
          <w:sz w:val="24"/>
          <w:u w:val="single"/>
        </w:rPr>
        <w:t xml:space="preserve">                /                  </w:t>
      </w:r>
      <w:r>
        <w:rPr>
          <w:rFonts w:hint="eastAsia" w:ascii="宋体" w:hAnsi="宋体"/>
          <w:sz w:val="24"/>
        </w:rPr>
        <w:t>。</w:t>
      </w:r>
    </w:p>
    <w:p w14:paraId="7628A8F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3.6 工程照管与成品、半成品保护</w:t>
      </w:r>
    </w:p>
    <w:p w14:paraId="64DFCAE4">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宋体" w:hAnsi="宋体"/>
          <w:sz w:val="24"/>
          <w:u w:val="single"/>
        </w:rPr>
      </w:pPr>
      <w:r>
        <w:rPr>
          <w:rFonts w:hint="eastAsia" w:ascii="宋体" w:hAnsi="宋体"/>
          <w:sz w:val="24"/>
        </w:rPr>
        <w:t>承包人负责照管工程及工程相关的材料、工程设备的起始时间：</w:t>
      </w:r>
      <w:r>
        <w:rPr>
          <w:rFonts w:hint="eastAsia" w:ascii="宋体" w:hAnsi="宋体"/>
          <w:sz w:val="24"/>
          <w:u w:val="single"/>
        </w:rPr>
        <w:t xml:space="preserve"> </w:t>
      </w:r>
      <w:r>
        <w:rPr>
          <w:rFonts w:hint="eastAsia" w:ascii="宋体" w:hAnsi="宋体"/>
          <w:kern w:val="2"/>
          <w:sz w:val="24"/>
          <w:u w:val="single"/>
        </w:rPr>
        <w:t>设备、人员进场至验收交付使用前由承包人负责保修，无其它特殊要求的，费用由承包人承担</w:t>
      </w:r>
      <w:r>
        <w:rPr>
          <w:rFonts w:hint="eastAsia" w:ascii="宋体" w:hAnsi="宋体"/>
          <w:sz w:val="24"/>
          <w:u w:val="single"/>
        </w:rPr>
        <w:t xml:space="preserve"> </w:t>
      </w:r>
      <w:r>
        <w:rPr>
          <w:rFonts w:hint="eastAsia" w:ascii="宋体" w:hAnsi="宋体"/>
          <w:sz w:val="24"/>
        </w:rPr>
        <w:t>。</w:t>
      </w:r>
    </w:p>
    <w:p w14:paraId="3754671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3.7 履约担保</w:t>
      </w:r>
    </w:p>
    <w:p w14:paraId="26188EB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承包人是否提供履约担保：</w:t>
      </w:r>
      <w:r>
        <w:rPr>
          <w:rFonts w:hint="eastAsia" w:ascii="宋体" w:hAnsi="宋体"/>
          <w:sz w:val="24"/>
          <w:u w:val="single"/>
        </w:rPr>
        <w:t xml:space="preserve">                    /                      </w:t>
      </w:r>
      <w:r>
        <w:rPr>
          <w:rFonts w:hint="eastAsia" w:ascii="宋体" w:hAnsi="宋体"/>
          <w:sz w:val="24"/>
        </w:rPr>
        <w:t>。</w:t>
      </w:r>
    </w:p>
    <w:p w14:paraId="7BA203E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承包人提供履约担保的形式、金额及期限的：</w:t>
      </w:r>
      <w:r>
        <w:rPr>
          <w:rFonts w:hint="eastAsia" w:ascii="宋体" w:hAnsi="宋体"/>
          <w:sz w:val="24"/>
          <w:u w:val="single"/>
        </w:rPr>
        <w:t xml:space="preserve">               /           </w:t>
      </w:r>
      <w:r>
        <w:rPr>
          <w:rFonts w:hint="eastAsia" w:ascii="宋体" w:hAnsi="宋体"/>
          <w:sz w:val="24"/>
        </w:rPr>
        <w:t>。</w:t>
      </w:r>
    </w:p>
    <w:p w14:paraId="3359799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94" w:name="_Toc351203636"/>
      <w:bookmarkEnd w:id="94"/>
      <w:r>
        <w:rPr>
          <w:rFonts w:hint="eastAsia" w:ascii="宋体" w:hAnsi="宋体"/>
          <w:sz w:val="24"/>
        </w:rPr>
        <w:t>4</w:t>
      </w:r>
      <w:bookmarkStart w:id="95" w:name="_Toc292559871"/>
      <w:bookmarkEnd w:id="95"/>
      <w:bookmarkStart w:id="96" w:name="_Toc292559366"/>
      <w:bookmarkEnd w:id="96"/>
      <w:bookmarkStart w:id="97" w:name="_Toc296503162"/>
      <w:bookmarkEnd w:id="97"/>
      <w:bookmarkStart w:id="98" w:name="_Toc296891202"/>
      <w:bookmarkEnd w:id="98"/>
      <w:bookmarkStart w:id="99" w:name="_Toc296944501"/>
      <w:bookmarkEnd w:id="99"/>
      <w:bookmarkStart w:id="100" w:name="_Toc296890990"/>
      <w:bookmarkEnd w:id="100"/>
      <w:bookmarkStart w:id="101" w:name="_Toc297120462"/>
      <w:bookmarkEnd w:id="101"/>
      <w:bookmarkStart w:id="102" w:name="_Toc296346663"/>
      <w:bookmarkEnd w:id="102"/>
      <w:bookmarkStart w:id="103" w:name="_Toc267251413"/>
      <w:bookmarkEnd w:id="103"/>
      <w:bookmarkStart w:id="104" w:name="_Toc296347161"/>
      <w:bookmarkEnd w:id="104"/>
      <w:bookmarkStart w:id="105" w:name="_Toc297048348"/>
      <w:r>
        <w:rPr>
          <w:rFonts w:hint="eastAsia" w:ascii="宋体" w:hAnsi="宋体"/>
          <w:sz w:val="24"/>
        </w:rPr>
        <w:t>. 监</w:t>
      </w:r>
      <w:bookmarkEnd w:id="105"/>
      <w:r>
        <w:rPr>
          <w:rFonts w:hint="eastAsia" w:ascii="宋体" w:hAnsi="宋体"/>
          <w:sz w:val="24"/>
        </w:rPr>
        <w:t>理人</w:t>
      </w:r>
    </w:p>
    <w:p w14:paraId="60B46C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4.1监理人的一般规定</w:t>
      </w:r>
    </w:p>
    <w:p w14:paraId="0B41D34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关于监理人的监理内容：</w:t>
      </w:r>
      <w:r>
        <w:rPr>
          <w:rFonts w:hint="eastAsia" w:ascii="宋体" w:hAnsi="宋体"/>
          <w:sz w:val="24"/>
          <w:u w:val="single"/>
        </w:rPr>
        <w:t xml:space="preserve">  质量、进度、安全、投资控制、合同管理、协调等，详见监理委托合同  </w:t>
      </w:r>
      <w:r>
        <w:rPr>
          <w:rFonts w:hint="eastAsia" w:ascii="宋体" w:hAnsi="宋体"/>
          <w:sz w:val="24"/>
        </w:rPr>
        <w:t>。</w:t>
      </w:r>
    </w:p>
    <w:p w14:paraId="1E5D540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关于监理人的监理权限：</w:t>
      </w:r>
      <w:r>
        <w:rPr>
          <w:rFonts w:hint="eastAsia" w:ascii="宋体" w:hAnsi="宋体"/>
          <w:sz w:val="24"/>
          <w:u w:val="single"/>
        </w:rPr>
        <w:t xml:space="preserve">              </w:t>
      </w:r>
      <w:r>
        <w:rPr>
          <w:rFonts w:hint="eastAsia" w:ascii="宋体" w:hAnsi="宋体"/>
          <w:kern w:val="2"/>
          <w:sz w:val="24"/>
          <w:u w:val="single"/>
        </w:rPr>
        <w:t xml:space="preserve"> 见监理合同</w:t>
      </w:r>
      <w:r>
        <w:rPr>
          <w:rFonts w:hint="eastAsia" w:ascii="宋体" w:hAnsi="宋体"/>
          <w:sz w:val="24"/>
          <w:u w:val="single"/>
        </w:rPr>
        <w:t xml:space="preserve">                    </w:t>
      </w:r>
      <w:r>
        <w:rPr>
          <w:rFonts w:hint="eastAsia" w:ascii="宋体" w:hAnsi="宋体"/>
          <w:sz w:val="24"/>
        </w:rPr>
        <w:t xml:space="preserve">。 </w:t>
      </w:r>
    </w:p>
    <w:p w14:paraId="62ACBBF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关于监理人在施工现场的办公场所、生活场所的提供和费用承担的约定：</w:t>
      </w:r>
      <w:r>
        <w:rPr>
          <w:rFonts w:hint="eastAsia" w:ascii="宋体" w:hAnsi="宋体"/>
          <w:kern w:val="2"/>
          <w:sz w:val="24"/>
          <w:u w:val="single"/>
        </w:rPr>
        <w:t>见监理合同</w:t>
      </w:r>
      <w:r>
        <w:rPr>
          <w:rFonts w:hint="eastAsia" w:ascii="宋体" w:hAnsi="宋体"/>
          <w:sz w:val="24"/>
        </w:rPr>
        <w:t>。</w:t>
      </w:r>
    </w:p>
    <w:p w14:paraId="1C65A9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4.2 监理人员</w:t>
      </w:r>
    </w:p>
    <w:p w14:paraId="338359A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总监理工程师：</w:t>
      </w:r>
    </w:p>
    <w:p w14:paraId="0A0BFA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w:t>
      </w:r>
      <w:r>
        <w:rPr>
          <w:rFonts w:hint="eastAsia" w:ascii="宋体" w:hAnsi="宋体"/>
          <w:sz w:val="24"/>
        </w:rPr>
        <w:t>；</w:t>
      </w:r>
    </w:p>
    <w:p w14:paraId="0BAED70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 </w:t>
      </w:r>
      <w:r>
        <w:rPr>
          <w:rFonts w:hint="eastAsia" w:ascii="宋体" w:hAnsi="宋体"/>
          <w:sz w:val="24"/>
        </w:rPr>
        <w:t>；</w:t>
      </w:r>
    </w:p>
    <w:p w14:paraId="3CC53C3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监理工程师执业资格证书号：</w:t>
      </w:r>
      <w:r>
        <w:rPr>
          <w:rFonts w:hint="eastAsia" w:ascii="宋体" w:hAnsi="宋体"/>
          <w:sz w:val="24"/>
          <w:u w:val="single"/>
        </w:rPr>
        <w:t> </w:t>
      </w:r>
      <w:r>
        <w:rPr>
          <w:rFonts w:hint="eastAsia" w:ascii="宋体" w:hAnsi="宋体"/>
          <w:sz w:val="24"/>
        </w:rPr>
        <w:t>；</w:t>
      </w:r>
    </w:p>
    <w:p w14:paraId="133041E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19A997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3158012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0375607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关于监理人的其他约定：</w:t>
      </w:r>
      <w:r>
        <w:rPr>
          <w:rFonts w:hint="eastAsia" w:ascii="宋体" w:hAnsi="宋体"/>
          <w:sz w:val="24"/>
          <w:u w:val="single"/>
        </w:rPr>
        <w:t>   </w:t>
      </w:r>
      <w:r>
        <w:rPr>
          <w:rFonts w:hint="eastAsia" w:ascii="宋体" w:hAnsi="宋体"/>
          <w:sz w:val="24"/>
        </w:rPr>
        <w:t>。</w:t>
      </w:r>
    </w:p>
    <w:p w14:paraId="40976CE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w:t>
      </w:r>
      <w:r>
        <w:rPr>
          <w:rFonts w:hint="eastAsia" w:ascii="宋体" w:hAnsi="宋体"/>
          <w:sz w:val="24"/>
          <w:lang w:val="en-US" w:eastAsia="zh-CN"/>
        </w:rPr>
        <w:t>4</w:t>
      </w:r>
      <w:r>
        <w:rPr>
          <w:rFonts w:hint="eastAsia" w:ascii="宋体" w:hAnsi="宋体"/>
          <w:sz w:val="24"/>
        </w:rPr>
        <w:t xml:space="preserve"> 商定或确定</w:t>
      </w:r>
    </w:p>
    <w:p w14:paraId="6910539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bookmarkStart w:id="106" w:name="_Toc267251418"/>
      <w:bookmarkEnd w:id="106"/>
      <w:r>
        <w:rPr>
          <w:rFonts w:hint="eastAsia" w:ascii="宋体" w:hAnsi="宋体"/>
          <w:sz w:val="24"/>
        </w:rPr>
        <w:t>在发包人和承包人不能通过协商达成一致意见时，发包人授权监理人对以下事项进行确定：</w:t>
      </w:r>
    </w:p>
    <w:p w14:paraId="7476A2C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214C114C">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rPr>
        <w:t>；</w:t>
      </w:r>
    </w:p>
    <w:p w14:paraId="77002BC9">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w:t>
      </w:r>
      <w:r>
        <w:rPr>
          <w:rFonts w:hint="eastAsia" w:ascii="宋体" w:hAnsi="宋体"/>
          <w:sz w:val="24"/>
        </w:rPr>
        <w:t>。</w:t>
      </w:r>
    </w:p>
    <w:p w14:paraId="71EAD734">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07" w:name="_Toc351203637"/>
      <w:bookmarkEnd w:id="107"/>
      <w:r>
        <w:rPr>
          <w:rFonts w:hint="eastAsia" w:ascii="宋体" w:hAnsi="宋体"/>
          <w:sz w:val="24"/>
        </w:rPr>
        <w:t>5</w:t>
      </w:r>
      <w:bookmarkStart w:id="108" w:name="_Toc297048349"/>
      <w:bookmarkEnd w:id="108"/>
      <w:bookmarkStart w:id="109" w:name="_Toc292559367"/>
      <w:bookmarkEnd w:id="109"/>
      <w:bookmarkStart w:id="110" w:name="_Toc297120463"/>
      <w:bookmarkEnd w:id="110"/>
      <w:bookmarkStart w:id="111" w:name="_Toc296944502"/>
      <w:bookmarkEnd w:id="111"/>
      <w:bookmarkStart w:id="112" w:name="_Toc296346664"/>
      <w:bookmarkEnd w:id="112"/>
      <w:bookmarkStart w:id="113" w:name="_Toc292559872"/>
      <w:bookmarkEnd w:id="113"/>
      <w:bookmarkStart w:id="114" w:name="_Toc296890991"/>
      <w:bookmarkEnd w:id="114"/>
      <w:bookmarkStart w:id="115" w:name="_Toc296347162"/>
      <w:bookmarkEnd w:id="115"/>
      <w:bookmarkStart w:id="116" w:name="_Toc296503163"/>
      <w:bookmarkEnd w:id="116"/>
      <w:bookmarkStart w:id="117" w:name="_Toc296891203"/>
      <w:r>
        <w:rPr>
          <w:rFonts w:hint="eastAsia" w:ascii="宋体" w:hAnsi="宋体"/>
          <w:sz w:val="24"/>
        </w:rPr>
        <w:t>. 工程质量</w:t>
      </w:r>
      <w:bookmarkEnd w:id="117"/>
    </w:p>
    <w:p w14:paraId="0DBFF82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5.1 质量要求</w:t>
      </w:r>
    </w:p>
    <w:p w14:paraId="56B4670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bookmarkStart w:id="118" w:name="_Toc297216155"/>
      <w:bookmarkEnd w:id="118"/>
      <w:bookmarkStart w:id="119" w:name="_Toc297123496"/>
      <w:bookmarkEnd w:id="119"/>
      <w:bookmarkStart w:id="120" w:name="_Toc312677997"/>
      <w:bookmarkEnd w:id="120"/>
      <w:bookmarkStart w:id="121" w:name="_Toc318581164"/>
      <w:bookmarkEnd w:id="121"/>
      <w:bookmarkStart w:id="122" w:name="_Toc304295527"/>
      <w:bookmarkEnd w:id="122"/>
      <w:bookmarkStart w:id="123" w:name="_Toc300934949"/>
      <w:bookmarkEnd w:id="123"/>
      <w:bookmarkStart w:id="124" w:name="_Toc303539106"/>
      <w:r>
        <w:rPr>
          <w:rFonts w:hint="eastAsia" w:ascii="宋体" w:hAnsi="宋体"/>
          <w:sz w:val="24"/>
        </w:rPr>
        <w:t>.1.1 特殊质量标准和要求：</w:t>
      </w:r>
      <w:bookmarkEnd w:id="124"/>
      <w:r>
        <w:rPr>
          <w:rFonts w:hint="eastAsia" w:ascii="宋体" w:hAnsi="宋体"/>
          <w:sz w:val="24"/>
          <w:u w:val="single"/>
        </w:rPr>
        <w:t xml:space="preserve">                 /                     </w:t>
      </w:r>
      <w:r>
        <w:rPr>
          <w:rFonts w:hint="eastAsia" w:ascii="宋体" w:hAnsi="宋体"/>
          <w:sz w:val="24"/>
        </w:rPr>
        <w:t>。</w:t>
      </w:r>
    </w:p>
    <w:p w14:paraId="2FEE3E3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关于工程奖项的约定：</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5F1D8E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 xml:space="preserve"> 隐蔽工程检查</w:t>
      </w:r>
    </w:p>
    <w:p w14:paraId="36CDDC9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2</w:t>
      </w:r>
      <w:r>
        <w:rPr>
          <w:rFonts w:hint="eastAsia" w:ascii="宋体" w:hAnsi="宋体"/>
          <w:sz w:val="24"/>
        </w:rPr>
        <w:t>承包人提前通知监理人隐蔽工程检查的期限的约定：</w:t>
      </w:r>
      <w:r>
        <w:rPr>
          <w:rFonts w:hint="eastAsia" w:ascii="宋体" w:hAnsi="宋体"/>
          <w:sz w:val="24"/>
          <w:u w:val="single"/>
        </w:rPr>
        <w:t xml:space="preserve">  </w:t>
      </w:r>
      <w:r>
        <w:rPr>
          <w:rFonts w:hint="eastAsia" w:ascii="宋体" w:hAnsi="宋体"/>
          <w:kern w:val="2"/>
          <w:sz w:val="24"/>
          <w:u w:val="single"/>
        </w:rPr>
        <w:t>共同检查前48小时书面通知监理人</w:t>
      </w:r>
      <w:r>
        <w:rPr>
          <w:rFonts w:hint="eastAsia" w:ascii="宋体" w:hAnsi="宋体"/>
          <w:sz w:val="24"/>
          <w:u w:val="single"/>
        </w:rPr>
        <w:t xml:space="preserve">  </w:t>
      </w:r>
      <w:r>
        <w:rPr>
          <w:rFonts w:hint="eastAsia" w:ascii="宋体" w:hAnsi="宋体"/>
          <w:sz w:val="24"/>
        </w:rPr>
        <w:t>。</w:t>
      </w:r>
    </w:p>
    <w:p w14:paraId="2A01130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监理人不能按时进行检查时，应提前</w:t>
      </w:r>
      <w:r>
        <w:rPr>
          <w:rFonts w:hint="eastAsia" w:ascii="宋体" w:hAnsi="宋体"/>
          <w:sz w:val="24"/>
          <w:u w:val="single"/>
        </w:rPr>
        <w:t xml:space="preserve"> 24  </w:t>
      </w:r>
      <w:r>
        <w:rPr>
          <w:rFonts w:hint="eastAsia" w:ascii="宋体" w:hAnsi="宋体"/>
          <w:sz w:val="24"/>
        </w:rPr>
        <w:t>小时提交书面延期要求。</w:t>
      </w:r>
    </w:p>
    <w:p w14:paraId="5EFDF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关于延期最长不得超过：</w:t>
      </w:r>
      <w:r>
        <w:rPr>
          <w:rFonts w:hint="eastAsia" w:ascii="宋体" w:hAnsi="宋体"/>
          <w:sz w:val="24"/>
          <w:u w:val="single"/>
        </w:rPr>
        <w:t xml:space="preserve">  48   </w:t>
      </w:r>
      <w:r>
        <w:rPr>
          <w:rFonts w:hint="eastAsia" w:ascii="宋体" w:hAnsi="宋体"/>
          <w:sz w:val="24"/>
        </w:rPr>
        <w:t>小时。</w:t>
      </w:r>
    </w:p>
    <w:p w14:paraId="437DCA6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双方约定中间验收部位：</w:t>
      </w:r>
      <w:r>
        <w:rPr>
          <w:rFonts w:hint="eastAsia" w:ascii="宋体" w:hAnsi="宋体"/>
          <w:sz w:val="24"/>
          <w:u w:val="single"/>
        </w:rPr>
        <w:t>执行《通用条款》。除按规定进行正常隐蔽工程验收外，中间验收部分为：</w:t>
      </w:r>
      <w:r>
        <w:rPr>
          <w:rFonts w:hint="eastAsia" w:ascii="宋体" w:hAnsi="宋体"/>
          <w:sz w:val="24"/>
          <w:u w:val="single"/>
          <w:lang w:val="en-US" w:eastAsia="zh-CN"/>
        </w:rPr>
        <w:t xml:space="preserve">         </w:t>
      </w:r>
      <w:r>
        <w:rPr>
          <w:rFonts w:hint="eastAsia" w:ascii="宋体" w:hAnsi="宋体"/>
          <w:sz w:val="24"/>
          <w:u w:val="single"/>
        </w:rPr>
        <w:t>。</w:t>
      </w:r>
    </w:p>
    <w:p w14:paraId="4EA7595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5" w:name="_Toc351203638"/>
      <w:bookmarkEnd w:id="125"/>
      <w:r>
        <w:rPr>
          <w:rFonts w:hint="eastAsia" w:ascii="宋体" w:hAnsi="宋体"/>
          <w:sz w:val="24"/>
        </w:rPr>
        <w:t>6. 安全文明施工与环境保护</w:t>
      </w:r>
    </w:p>
    <w:p w14:paraId="50EBE53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6.1安全文明施工</w:t>
      </w:r>
    </w:p>
    <w:p w14:paraId="1AABB0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6.1.1 项目安全生产的达标目标及相应事项的约定：</w:t>
      </w:r>
      <w:r>
        <w:rPr>
          <w:rFonts w:hint="eastAsia" w:ascii="宋体" w:hAnsi="宋体"/>
          <w:sz w:val="24"/>
          <w:u w:val="single"/>
        </w:rPr>
        <w:t xml:space="preserve">  要求达到《建筑施工安全检查标准》（JGJ59-2011）标准</w:t>
      </w:r>
      <w:r>
        <w:rPr>
          <w:rFonts w:hint="eastAsia" w:ascii="宋体" w:hAnsi="宋体"/>
          <w:sz w:val="24"/>
        </w:rPr>
        <w:t>。</w:t>
      </w:r>
    </w:p>
    <w:p w14:paraId="213480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4</w:t>
      </w:r>
      <w:r>
        <w:rPr>
          <w:rFonts w:hint="eastAsia" w:ascii="宋体" w:hAnsi="宋体"/>
          <w:sz w:val="24"/>
        </w:rPr>
        <w:t xml:space="preserve"> 关于治安保卫的特别约定：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762530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关于编制施工场地治安管理计划的约定：</w:t>
      </w:r>
      <w:r>
        <w:rPr>
          <w:rFonts w:hint="eastAsia" w:ascii="宋体" w:hAnsi="宋体"/>
          <w:sz w:val="24"/>
          <w:u w:val="single"/>
        </w:rPr>
        <w:t xml:space="preserve"> </w:t>
      </w:r>
      <w:r>
        <w:rPr>
          <w:rFonts w:hint="eastAsia" w:ascii="宋体" w:hAnsi="宋体"/>
          <w:kern w:val="2"/>
          <w:sz w:val="24"/>
          <w:u w:val="single"/>
        </w:rPr>
        <w:t>开工前提供施工场地治安管理计划</w:t>
      </w:r>
      <w:r>
        <w:rPr>
          <w:rFonts w:hint="eastAsia" w:ascii="宋体" w:hAnsi="宋体"/>
          <w:sz w:val="24"/>
          <w:u w:val="single"/>
        </w:rPr>
        <w:t xml:space="preserve"> </w:t>
      </w:r>
      <w:r>
        <w:rPr>
          <w:rFonts w:hint="eastAsia" w:ascii="宋体" w:hAnsi="宋体"/>
          <w:sz w:val="24"/>
        </w:rPr>
        <w:t>。</w:t>
      </w:r>
    </w:p>
    <w:p w14:paraId="0690E1F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5</w:t>
      </w:r>
      <w:r>
        <w:rPr>
          <w:rFonts w:hint="eastAsia" w:ascii="宋体" w:hAnsi="宋体"/>
          <w:sz w:val="24"/>
        </w:rPr>
        <w:t xml:space="preserve"> 文明施工</w:t>
      </w:r>
    </w:p>
    <w:p w14:paraId="4A60F8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合同当事人对文明施工的要求：</w:t>
      </w:r>
      <w:r>
        <w:rPr>
          <w:rFonts w:hint="eastAsia" w:ascii="宋体" w:hAnsi="宋体"/>
          <w:sz w:val="24"/>
          <w:u w:val="single"/>
        </w:rPr>
        <w:t xml:space="preserve"> 达到《建筑施工现场环境与卫生标准》（JGJ146-2004） </w:t>
      </w:r>
      <w:r>
        <w:rPr>
          <w:rFonts w:hint="eastAsia" w:ascii="宋体" w:hAnsi="宋体"/>
          <w:sz w:val="24"/>
        </w:rPr>
        <w:t>。</w:t>
      </w:r>
    </w:p>
    <w:p w14:paraId="7A58983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6.1.</w:t>
      </w:r>
      <w:r>
        <w:rPr>
          <w:rFonts w:hint="eastAsia" w:ascii="宋体" w:hAnsi="宋体"/>
          <w:sz w:val="24"/>
          <w:lang w:val="en-US" w:eastAsia="zh-CN"/>
        </w:rPr>
        <w:t>6</w:t>
      </w:r>
      <w:r>
        <w:rPr>
          <w:rFonts w:hint="eastAsia" w:ascii="宋体" w:hAnsi="宋体"/>
          <w:sz w:val="24"/>
        </w:rPr>
        <w:t xml:space="preserve"> 关于安全文明施工费支付比例和支付期限的约定：</w:t>
      </w:r>
      <w:r>
        <w:rPr>
          <w:rFonts w:hint="eastAsia" w:ascii="宋体" w:hAnsi="宋体"/>
          <w:sz w:val="24"/>
          <w:u w:val="single"/>
        </w:rPr>
        <w:t>纳入合同价格支付。</w:t>
      </w:r>
    </w:p>
    <w:p w14:paraId="033B74D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6" w:name="_Toc351203639"/>
      <w:bookmarkEnd w:id="126"/>
      <w:r>
        <w:rPr>
          <w:rFonts w:hint="eastAsia" w:ascii="宋体" w:hAnsi="宋体"/>
          <w:sz w:val="24"/>
        </w:rPr>
        <w:t>7. 工期和进度</w:t>
      </w:r>
    </w:p>
    <w:p w14:paraId="3167922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7.1 施工组织设计</w:t>
      </w:r>
    </w:p>
    <w:p w14:paraId="78220B7F">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7.1.1 合同当事人约定的施工组织设计应包括的其他内容：</w:t>
      </w:r>
      <w:r>
        <w:rPr>
          <w:rFonts w:hint="eastAsia" w:ascii="宋体" w:hAnsi="宋体"/>
          <w:sz w:val="24"/>
          <w:u w:val="single"/>
        </w:rPr>
        <w:t xml:space="preserve">  </w:t>
      </w:r>
      <w:r>
        <w:rPr>
          <w:rFonts w:hint="eastAsia" w:ascii="宋体" w:hAnsi="宋体"/>
          <w:kern w:val="2"/>
          <w:sz w:val="24"/>
          <w:u w:val="single"/>
        </w:rPr>
        <w:t>按</w:t>
      </w:r>
      <w:r>
        <w:rPr>
          <w:rFonts w:hint="eastAsia" w:ascii="宋体" w:hAnsi="宋体"/>
          <w:kern w:val="2"/>
          <w:sz w:val="24"/>
          <w:u w:val="single"/>
          <w:lang w:val="en-US" w:eastAsia="zh-CN"/>
        </w:rPr>
        <w:t>磋商</w:t>
      </w:r>
      <w:r>
        <w:rPr>
          <w:rFonts w:hint="eastAsia" w:ascii="宋体" w:hAnsi="宋体"/>
          <w:kern w:val="2"/>
          <w:sz w:val="24"/>
          <w:u w:val="single"/>
        </w:rPr>
        <w:t>文件约定，</w:t>
      </w:r>
      <w:r>
        <w:rPr>
          <w:rFonts w:hint="eastAsia" w:ascii="宋体" w:hAnsi="宋体"/>
          <w:kern w:val="2"/>
          <w:sz w:val="24"/>
          <w:u w:val="single"/>
          <w:lang w:val="en-US" w:eastAsia="zh-CN"/>
        </w:rPr>
        <w:t>磋商</w:t>
      </w:r>
      <w:r>
        <w:rPr>
          <w:rFonts w:hint="eastAsia" w:ascii="宋体" w:hAnsi="宋体"/>
          <w:kern w:val="2"/>
          <w:sz w:val="24"/>
          <w:u w:val="single"/>
        </w:rPr>
        <w:t>文件无约定的按通用条款</w:t>
      </w:r>
      <w:r>
        <w:rPr>
          <w:rFonts w:hint="eastAsia" w:ascii="宋体" w:hAnsi="宋体"/>
          <w:sz w:val="24"/>
          <w:u w:val="single"/>
        </w:rPr>
        <w:t xml:space="preserve"> </w:t>
      </w:r>
      <w:r>
        <w:rPr>
          <w:rFonts w:hint="eastAsia" w:ascii="宋体" w:hAnsi="宋体"/>
          <w:sz w:val="24"/>
        </w:rPr>
        <w:t>。</w:t>
      </w:r>
    </w:p>
    <w:p w14:paraId="6537466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7.1.2 施工组织设计的提交和修改</w:t>
      </w:r>
    </w:p>
    <w:p w14:paraId="09F107ED">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sz w:val="24"/>
        </w:rPr>
        <w:t>承包人提交详细施工组织设计的期限的约定：</w:t>
      </w:r>
      <w:r>
        <w:rPr>
          <w:rFonts w:hint="eastAsia" w:ascii="宋体" w:hAnsi="宋体"/>
          <w:sz w:val="24"/>
          <w:u w:val="single"/>
        </w:rPr>
        <w:t xml:space="preserve">    </w:t>
      </w:r>
      <w:r>
        <w:rPr>
          <w:rFonts w:hint="eastAsia" w:ascii="宋体" w:hAnsi="宋体"/>
          <w:kern w:val="2"/>
          <w:sz w:val="24"/>
          <w:u w:val="single"/>
        </w:rPr>
        <w:t>开工前</w:t>
      </w:r>
      <w:r>
        <w:rPr>
          <w:rFonts w:hint="eastAsia" w:ascii="宋体" w:hAnsi="宋体"/>
          <w:sz w:val="24"/>
          <w:u w:val="single"/>
        </w:rPr>
        <w:t xml:space="preserve">    </w:t>
      </w:r>
      <w:r>
        <w:rPr>
          <w:rFonts w:hint="eastAsia" w:ascii="宋体" w:hAnsi="宋体"/>
          <w:sz w:val="24"/>
        </w:rPr>
        <w:t>。</w:t>
      </w:r>
    </w:p>
    <w:p w14:paraId="536C03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发包人和监理人在收到详细的施工组织设计后确认或提出修改意见的期限：</w:t>
      </w:r>
      <w:r>
        <w:rPr>
          <w:rFonts w:hint="eastAsia" w:ascii="宋体" w:hAnsi="宋体"/>
          <w:sz w:val="24"/>
          <w:u w:val="single"/>
        </w:rPr>
        <w:t xml:space="preserve"> </w:t>
      </w:r>
      <w:r>
        <w:rPr>
          <w:rFonts w:hint="eastAsia" w:ascii="宋体" w:hAnsi="宋体"/>
          <w:kern w:val="2"/>
          <w:sz w:val="24"/>
          <w:u w:val="single"/>
        </w:rPr>
        <w:t>收到后7天内</w:t>
      </w:r>
      <w:r>
        <w:rPr>
          <w:rFonts w:hint="eastAsia" w:ascii="宋体" w:hAnsi="宋体"/>
          <w:sz w:val="24"/>
          <w:u w:val="single"/>
        </w:rPr>
        <w:t xml:space="preserve">  </w:t>
      </w:r>
      <w:r>
        <w:rPr>
          <w:rFonts w:hint="eastAsia" w:ascii="宋体" w:hAnsi="宋体"/>
          <w:sz w:val="24"/>
        </w:rPr>
        <w:t>。</w:t>
      </w:r>
    </w:p>
    <w:p w14:paraId="0B4815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27" w:name="_Toc297216173"/>
      <w:bookmarkEnd w:id="127"/>
      <w:bookmarkStart w:id="128" w:name="_Toc303539123"/>
      <w:bookmarkEnd w:id="128"/>
      <w:bookmarkStart w:id="129" w:name="_Toc312677479"/>
      <w:bookmarkEnd w:id="129"/>
      <w:bookmarkStart w:id="130" w:name="_Toc312678005"/>
      <w:bookmarkEnd w:id="130"/>
      <w:bookmarkStart w:id="131" w:name="_Toc297123514"/>
      <w:bookmarkEnd w:id="131"/>
      <w:bookmarkStart w:id="132" w:name="_Toc300934966"/>
      <w:bookmarkEnd w:id="132"/>
      <w:bookmarkStart w:id="133" w:name="_Toc304295541"/>
      <w:r>
        <w:rPr>
          <w:rFonts w:hint="eastAsia" w:ascii="宋体" w:hAnsi="宋体"/>
          <w:sz w:val="24"/>
        </w:rPr>
        <w:t>.2 施工进度计划</w:t>
      </w:r>
      <w:bookmarkEnd w:id="133"/>
    </w:p>
    <w:p w14:paraId="6D6A918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7.2.</w:t>
      </w:r>
      <w:r>
        <w:rPr>
          <w:rFonts w:hint="eastAsia" w:ascii="宋体" w:hAnsi="宋体"/>
          <w:sz w:val="24"/>
          <w:lang w:val="en-US" w:eastAsia="zh-CN"/>
        </w:rPr>
        <w:t>2</w:t>
      </w:r>
      <w:r>
        <w:rPr>
          <w:rFonts w:hint="eastAsia" w:ascii="宋体" w:hAnsi="宋体"/>
          <w:sz w:val="24"/>
        </w:rPr>
        <w:t xml:space="preserve"> 施工进度计划的修订</w:t>
      </w:r>
    </w:p>
    <w:p w14:paraId="2084A5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发包人和监理人在收到修订的施工进度计划后确认或提出修改意见的期限：</w:t>
      </w:r>
      <w:r>
        <w:rPr>
          <w:rFonts w:hint="eastAsia" w:ascii="宋体" w:hAnsi="宋体"/>
          <w:sz w:val="24"/>
          <w:u w:val="single"/>
        </w:rPr>
        <w:t xml:space="preserve"> </w:t>
      </w:r>
      <w:r>
        <w:rPr>
          <w:rFonts w:hint="eastAsia" w:ascii="宋体" w:hAnsi="宋体"/>
          <w:kern w:val="2"/>
          <w:sz w:val="24"/>
          <w:u w:val="single"/>
        </w:rPr>
        <w:t>收到后5天内</w:t>
      </w:r>
      <w:r>
        <w:rPr>
          <w:rFonts w:hint="eastAsia" w:ascii="宋体" w:hAnsi="宋体"/>
          <w:sz w:val="24"/>
          <w:u w:val="single"/>
        </w:rPr>
        <w:t xml:space="preserve">  </w:t>
      </w:r>
      <w:r>
        <w:rPr>
          <w:rFonts w:hint="eastAsia" w:ascii="宋体" w:hAnsi="宋体"/>
          <w:sz w:val="24"/>
        </w:rPr>
        <w:t>。</w:t>
      </w:r>
    </w:p>
    <w:p w14:paraId="306AAC1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7.3 开工</w:t>
      </w:r>
    </w:p>
    <w:p w14:paraId="04BA008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w:t>
      </w:r>
      <w:r>
        <w:rPr>
          <w:rFonts w:hint="eastAsia" w:ascii="宋体" w:hAnsi="宋体"/>
          <w:sz w:val="24"/>
          <w:lang w:val="en-US" w:eastAsia="zh-CN"/>
        </w:rPr>
        <w:t>1</w:t>
      </w:r>
      <w:r>
        <w:rPr>
          <w:rFonts w:hint="eastAsia" w:ascii="宋体" w:hAnsi="宋体"/>
          <w:sz w:val="24"/>
        </w:rPr>
        <w:t xml:space="preserve"> 开工准备</w:t>
      </w:r>
    </w:p>
    <w:p w14:paraId="29FC1A3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关于承包人提交工程开工报审表的期限：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147D8D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72EE14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关于承包人应完成的其他开工准备工作及期限：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6B2FC1F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7.3.2开工通知</w:t>
      </w:r>
    </w:p>
    <w:p w14:paraId="0AD78E3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因发包人原因造成监理人未能在计划开工日期之日起</w:t>
      </w:r>
      <w:r>
        <w:rPr>
          <w:rFonts w:hint="eastAsia" w:ascii="宋体" w:hAnsi="宋体"/>
          <w:sz w:val="24"/>
          <w:u w:val="single"/>
        </w:rPr>
        <w:t xml:space="preserve">  60  </w:t>
      </w:r>
      <w:r>
        <w:rPr>
          <w:rFonts w:hint="eastAsia" w:ascii="宋体" w:hAnsi="宋体"/>
          <w:sz w:val="24"/>
        </w:rPr>
        <w:t>天内发出开工通知的，承包人有权提出价格调整要求，或者解除合同。</w:t>
      </w:r>
    </w:p>
    <w:p w14:paraId="1B6B5F9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7.4 测量放线</w:t>
      </w:r>
    </w:p>
    <w:p w14:paraId="03CA51E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7.4.1发包人通过监理人向承包人提供测量基准点、基准线和水准点及其书面资料的期限：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42A78EB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34" w:name="_Toc303539125"/>
      <w:bookmarkEnd w:id="134"/>
      <w:bookmarkStart w:id="135" w:name="_Toc312678010"/>
      <w:bookmarkEnd w:id="135"/>
      <w:bookmarkStart w:id="136" w:name="_Toc297123516"/>
      <w:bookmarkEnd w:id="136"/>
      <w:bookmarkStart w:id="137" w:name="_Toc297216175"/>
      <w:bookmarkEnd w:id="137"/>
      <w:bookmarkStart w:id="138" w:name="_Toc300934968"/>
      <w:bookmarkEnd w:id="138"/>
      <w:bookmarkStart w:id="139" w:name="_Toc312677484"/>
      <w:bookmarkEnd w:id="139"/>
      <w:bookmarkStart w:id="140" w:name="_Toc304295546"/>
      <w:r>
        <w:rPr>
          <w:rFonts w:hint="eastAsia" w:ascii="宋体" w:hAnsi="宋体"/>
          <w:sz w:val="24"/>
        </w:rPr>
        <w:t>.5 工期延误</w:t>
      </w:r>
      <w:bookmarkEnd w:id="140"/>
    </w:p>
    <w:p w14:paraId="357DC52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7.5.1 因发包人原因导致工期延误</w:t>
      </w:r>
    </w:p>
    <w:p w14:paraId="7CA609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（7）因发包人原因导致工期延误的其他情形：</w:t>
      </w:r>
      <w:r>
        <w:rPr>
          <w:rFonts w:hint="eastAsia" w:ascii="宋体" w:hAnsi="宋体"/>
          <w:sz w:val="24"/>
          <w:u w:val="single"/>
        </w:rPr>
        <w:t xml:space="preserve"> </w:t>
      </w:r>
      <w:r>
        <w:rPr>
          <w:rFonts w:hint="eastAsia" w:ascii="宋体" w:hAnsi="宋体"/>
          <w:kern w:val="2"/>
          <w:sz w:val="24"/>
          <w:u w:val="single"/>
        </w:rPr>
        <w:t>①发包人未按合同规定支付工程款并确实影响施工进度；②重大设计变更而影响施工进度；③政策处理问题影响施工进度；④不可抗力，此延误工期须在发现后七天内办理签证，逾期不予认可。</w:t>
      </w:r>
    </w:p>
    <w:p w14:paraId="33EF2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bookmarkStart w:id="141" w:name="_Toc300934970"/>
      <w:bookmarkEnd w:id="141"/>
      <w:bookmarkStart w:id="142" w:name="_Toc318581169"/>
      <w:bookmarkEnd w:id="142"/>
      <w:bookmarkStart w:id="143" w:name="_Toc312678012"/>
      <w:bookmarkEnd w:id="143"/>
      <w:bookmarkStart w:id="144" w:name="_Toc304295548"/>
      <w:bookmarkEnd w:id="144"/>
      <w:bookmarkStart w:id="145" w:name="_Toc297123518"/>
      <w:bookmarkEnd w:id="145"/>
      <w:bookmarkStart w:id="146" w:name="_Toc303539127"/>
      <w:bookmarkEnd w:id="146"/>
      <w:bookmarkStart w:id="147" w:name="_Toc297216177"/>
      <w:bookmarkEnd w:id="147"/>
      <w:bookmarkStart w:id="148" w:name="_Toc312677486"/>
      <w:r>
        <w:rPr>
          <w:rFonts w:hint="eastAsia" w:ascii="宋体" w:hAnsi="宋体"/>
          <w:sz w:val="24"/>
        </w:rPr>
        <w:t>.5.2 因承包人原因导致工期延误</w:t>
      </w:r>
      <w:bookmarkEnd w:id="148"/>
    </w:p>
    <w:p w14:paraId="51DF3A8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w:t>
      </w:r>
      <w:bookmarkStart w:id="149" w:name="_Toc312678013"/>
      <w:bookmarkEnd w:id="149"/>
      <w:bookmarkStart w:id="150" w:name="_Toc312677487"/>
      <w:bookmarkEnd w:id="150"/>
      <w:bookmarkStart w:id="151" w:name="_Toc318581170"/>
      <w:r>
        <w:rPr>
          <w:rFonts w:hint="eastAsia" w:ascii="宋体" w:hAnsi="宋体"/>
          <w:sz w:val="24"/>
        </w:rPr>
        <w:t>承包人原因造成工期延误，逾期竣工违约金的计算方法为：</w:t>
      </w:r>
      <w:bookmarkEnd w:id="151"/>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7AA5B8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因承包人原因造成工期延误，逾</w:t>
      </w:r>
      <w:bookmarkStart w:id="152" w:name="_Toc312678014"/>
      <w:bookmarkEnd w:id="152"/>
      <w:bookmarkStart w:id="153" w:name="_Toc318581171"/>
      <w:r>
        <w:rPr>
          <w:rFonts w:hint="eastAsia" w:ascii="宋体" w:hAnsi="宋体"/>
          <w:sz w:val="24"/>
        </w:rPr>
        <w:t>期竣工违约金的上限：</w:t>
      </w:r>
      <w:bookmarkEnd w:id="153"/>
      <w:r>
        <w:rPr>
          <w:rFonts w:hint="eastAsia" w:ascii="宋体" w:hAnsi="宋体"/>
          <w:kern w:val="2"/>
          <w:sz w:val="24"/>
          <w:u w:val="single"/>
        </w:rPr>
        <w:t>总额不超过合同价款的10%</w:t>
      </w:r>
      <w:r>
        <w:rPr>
          <w:rFonts w:hint="eastAsia" w:ascii="宋体" w:hAnsi="宋体"/>
          <w:sz w:val="24"/>
          <w:u w:val="single"/>
        </w:rPr>
        <w:t xml:space="preserve">  </w:t>
      </w:r>
      <w:r>
        <w:rPr>
          <w:rFonts w:hint="eastAsia" w:ascii="宋体" w:hAnsi="宋体"/>
          <w:sz w:val="24"/>
        </w:rPr>
        <w:t>。</w:t>
      </w:r>
    </w:p>
    <w:p w14:paraId="397A5A9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54" w:name="_Toc297216178"/>
      <w:bookmarkEnd w:id="154"/>
      <w:bookmarkStart w:id="155" w:name="_Toc312678015"/>
      <w:bookmarkEnd w:id="155"/>
      <w:bookmarkStart w:id="156" w:name="_Toc304295549"/>
      <w:bookmarkEnd w:id="156"/>
      <w:bookmarkStart w:id="157" w:name="_Toc297123519"/>
      <w:bookmarkEnd w:id="157"/>
      <w:bookmarkStart w:id="158" w:name="_Toc303539128"/>
      <w:bookmarkEnd w:id="158"/>
      <w:bookmarkStart w:id="159" w:name="_Toc300934971"/>
      <w:r>
        <w:rPr>
          <w:rFonts w:hint="eastAsia" w:ascii="宋体" w:hAnsi="宋体"/>
          <w:sz w:val="24"/>
        </w:rPr>
        <w:t>.6 不</w:t>
      </w:r>
      <w:bookmarkEnd w:id="159"/>
      <w:r>
        <w:rPr>
          <w:rFonts w:hint="eastAsia" w:ascii="宋体" w:hAnsi="宋体"/>
          <w:sz w:val="24"/>
        </w:rPr>
        <w:t>利物质条件</w:t>
      </w:r>
    </w:p>
    <w:p w14:paraId="79235A9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160" w:name="_Toc304295550"/>
      <w:bookmarkEnd w:id="160"/>
      <w:bookmarkStart w:id="161" w:name="_Toc312678016"/>
      <w:bookmarkEnd w:id="161"/>
      <w:bookmarkStart w:id="162" w:name="_Toc318581172"/>
      <w:bookmarkEnd w:id="162"/>
      <w:bookmarkStart w:id="163" w:name="_Toc300934972"/>
      <w:bookmarkEnd w:id="163"/>
      <w:bookmarkStart w:id="164" w:name="_Toc297216179"/>
      <w:bookmarkEnd w:id="164"/>
      <w:bookmarkStart w:id="165" w:name="_Toc303539129"/>
      <w:bookmarkEnd w:id="165"/>
      <w:bookmarkStart w:id="166" w:name="_Toc297123520"/>
      <w:r>
        <w:rPr>
          <w:rFonts w:hint="eastAsia" w:ascii="宋体" w:hAnsi="宋体"/>
          <w:sz w:val="24"/>
        </w:rPr>
        <w:t>不利物质条件的其他情形和有关约定：</w:t>
      </w:r>
      <w:bookmarkEnd w:id="166"/>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B3EC5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67" w:name="_Toc312678017"/>
      <w:bookmarkEnd w:id="167"/>
      <w:bookmarkStart w:id="168" w:name="_Toc297216180"/>
      <w:bookmarkEnd w:id="168"/>
      <w:bookmarkStart w:id="169" w:name="_Toc304295551"/>
      <w:bookmarkEnd w:id="169"/>
      <w:bookmarkStart w:id="170" w:name="_Toc297123521"/>
      <w:bookmarkEnd w:id="170"/>
      <w:bookmarkStart w:id="171" w:name="_Toc300934973"/>
      <w:bookmarkEnd w:id="171"/>
      <w:bookmarkStart w:id="172" w:name="_Toc303539130"/>
      <w:r>
        <w:rPr>
          <w:rFonts w:hint="eastAsia" w:ascii="宋体" w:hAnsi="宋体"/>
          <w:sz w:val="24"/>
        </w:rPr>
        <w:t>.7异常恶劣的气候条件</w:t>
      </w:r>
      <w:bookmarkEnd w:id="172"/>
    </w:p>
    <w:p w14:paraId="07CD0A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发包人和承包人同意以下情形视为异常恶劣的气候条件：</w:t>
      </w:r>
    </w:p>
    <w:p w14:paraId="1013AF42">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风速达到8级以上10级以内的台风     </w:t>
      </w:r>
      <w:r>
        <w:rPr>
          <w:rFonts w:hint="eastAsia" w:ascii="宋体" w:hAnsi="宋体"/>
          <w:sz w:val="24"/>
        </w:rPr>
        <w:t>；</w:t>
      </w:r>
    </w:p>
    <w:p w14:paraId="7E445CEB">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24小时内降雨量大于250mm的特大暴雨  </w:t>
      </w:r>
      <w:r>
        <w:rPr>
          <w:rFonts w:hint="eastAsia" w:ascii="宋体" w:hAnsi="宋体"/>
          <w:sz w:val="24"/>
        </w:rPr>
        <w:t>；</w:t>
      </w:r>
    </w:p>
    <w:p w14:paraId="19030B27">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日气温超过42℃或低于-10℃           </w:t>
      </w:r>
      <w:r>
        <w:rPr>
          <w:rFonts w:hint="eastAsia" w:ascii="宋体" w:hAnsi="宋体"/>
          <w:sz w:val="24"/>
        </w:rPr>
        <w:t>。</w:t>
      </w:r>
    </w:p>
    <w:p w14:paraId="342EE7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 xml:space="preserve"> 提前竣工的奖励</w:t>
      </w:r>
    </w:p>
    <w:p w14:paraId="029623A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w:t>
      </w:r>
      <w:r>
        <w:rPr>
          <w:rFonts w:hint="eastAsia" w:ascii="宋体" w:hAnsi="宋体"/>
          <w:sz w:val="24"/>
          <w:lang w:val="en-US" w:eastAsia="zh-CN"/>
        </w:rPr>
        <w:t>2</w:t>
      </w:r>
      <w:r>
        <w:rPr>
          <w:rFonts w:hint="eastAsia" w:ascii="宋体" w:hAnsi="宋体"/>
          <w:sz w:val="24"/>
        </w:rPr>
        <w:t>提前竣工的奖励：</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3CEB26A">
      <w:pPr>
        <w:keepNext w:val="0"/>
        <w:keepLines w:val="0"/>
        <w:pageBreakBefore w:val="0"/>
        <w:kinsoku/>
        <w:wordWrap/>
        <w:overflowPunct/>
        <w:topLinePunct w:val="0"/>
        <w:bidi w:val="0"/>
        <w:spacing w:before="120" w:after="120" w:line="400" w:lineRule="exact"/>
        <w:textAlignment w:val="auto"/>
        <w:outlineLvl w:val="9"/>
        <w:rPr>
          <w:rFonts w:hint="eastAsia" w:ascii="宋体" w:hAnsi="宋体"/>
          <w:sz w:val="24"/>
        </w:rPr>
      </w:pPr>
      <w:bookmarkStart w:id="173" w:name="_Toc351203640"/>
      <w:bookmarkEnd w:id="173"/>
      <w:r>
        <w:rPr>
          <w:rFonts w:hint="eastAsia" w:ascii="宋体" w:hAnsi="宋体"/>
          <w:sz w:val="24"/>
        </w:rPr>
        <w:t>8. 材料与设备</w:t>
      </w:r>
    </w:p>
    <w:p w14:paraId="7F7E60D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bookmarkStart w:id="174" w:name="_Toc297120467"/>
      <w:bookmarkEnd w:id="174"/>
      <w:bookmarkStart w:id="175" w:name="_Toc303539136"/>
      <w:bookmarkEnd w:id="175"/>
      <w:bookmarkStart w:id="176" w:name="_Toc312678019"/>
      <w:bookmarkEnd w:id="176"/>
      <w:bookmarkStart w:id="177" w:name="_Toc312677493"/>
      <w:bookmarkEnd w:id="177"/>
      <w:bookmarkStart w:id="178" w:name="_Toc296891207"/>
      <w:bookmarkEnd w:id="178"/>
      <w:bookmarkStart w:id="179" w:name="_Toc280868656"/>
      <w:bookmarkEnd w:id="179"/>
      <w:bookmarkStart w:id="180" w:name="_Toc280868654"/>
      <w:bookmarkEnd w:id="180"/>
      <w:bookmarkStart w:id="181" w:name="_Toc297216186"/>
      <w:bookmarkEnd w:id="181"/>
      <w:bookmarkStart w:id="182" w:name="_Toc292559372"/>
      <w:bookmarkEnd w:id="182"/>
      <w:bookmarkStart w:id="183" w:name="_Toc296944506"/>
      <w:bookmarkEnd w:id="183"/>
      <w:bookmarkStart w:id="184" w:name="_Toc296503167"/>
      <w:bookmarkEnd w:id="184"/>
      <w:bookmarkStart w:id="185" w:name="_Toc300934979"/>
      <w:bookmarkEnd w:id="185"/>
      <w:bookmarkStart w:id="186" w:name="_Toc297123527"/>
      <w:bookmarkEnd w:id="186"/>
      <w:bookmarkStart w:id="187" w:name="_Toc280868655"/>
      <w:bookmarkEnd w:id="187"/>
      <w:bookmarkStart w:id="188" w:name="_Toc297048353"/>
      <w:bookmarkEnd w:id="188"/>
      <w:bookmarkStart w:id="189" w:name="_Toc292559877"/>
      <w:bookmarkEnd w:id="189"/>
      <w:bookmarkStart w:id="190" w:name="_Toc304295556"/>
      <w:bookmarkEnd w:id="190"/>
      <w:bookmarkStart w:id="191" w:name="_Toc296347166"/>
      <w:bookmarkEnd w:id="191"/>
      <w:bookmarkStart w:id="192" w:name="_Toc296890995"/>
      <w:bookmarkEnd w:id="192"/>
      <w:bookmarkStart w:id="193" w:name="_Toc296346668"/>
      <w:bookmarkEnd w:id="193"/>
      <w:bookmarkStart w:id="194" w:name="_Toc267251424"/>
      <w:r>
        <w:rPr>
          <w:rFonts w:hint="eastAsia" w:ascii="宋体" w:hAnsi="宋体"/>
          <w:sz w:val="24"/>
        </w:rPr>
        <w:t>.</w:t>
      </w:r>
      <w:r>
        <w:rPr>
          <w:rFonts w:hint="eastAsia" w:ascii="宋体" w:hAnsi="宋体"/>
          <w:sz w:val="24"/>
          <w:lang w:val="en-US" w:eastAsia="zh-CN"/>
        </w:rPr>
        <w:t>4</w:t>
      </w:r>
      <w:r>
        <w:rPr>
          <w:rFonts w:hint="eastAsia" w:ascii="宋体" w:hAnsi="宋体"/>
          <w:sz w:val="24"/>
        </w:rPr>
        <w:t>材料与工程设备的保管与使用</w:t>
      </w:r>
      <w:bookmarkEnd w:id="194"/>
    </w:p>
    <w:p w14:paraId="101D65D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bookmarkStart w:id="195" w:name="_Toc296890996"/>
      <w:bookmarkEnd w:id="195"/>
      <w:bookmarkStart w:id="196" w:name="_Toc297123528"/>
      <w:bookmarkEnd w:id="196"/>
      <w:bookmarkStart w:id="197" w:name="_Toc292559878"/>
      <w:bookmarkEnd w:id="197"/>
      <w:bookmarkStart w:id="198" w:name="_Toc312677494"/>
      <w:bookmarkEnd w:id="198"/>
      <w:bookmarkStart w:id="199" w:name="_Toc292559373"/>
      <w:bookmarkEnd w:id="199"/>
      <w:bookmarkStart w:id="200" w:name="_Toc303539137"/>
      <w:bookmarkEnd w:id="200"/>
      <w:bookmarkStart w:id="201" w:name="_Toc296503168"/>
      <w:bookmarkEnd w:id="201"/>
      <w:bookmarkStart w:id="202" w:name="_Toc300934980"/>
      <w:bookmarkEnd w:id="202"/>
      <w:bookmarkStart w:id="203" w:name="_Toc296944507"/>
      <w:bookmarkEnd w:id="203"/>
      <w:bookmarkStart w:id="204" w:name="_Toc297048354"/>
      <w:bookmarkEnd w:id="204"/>
      <w:bookmarkStart w:id="205" w:name="_Toc312678020"/>
      <w:bookmarkEnd w:id="205"/>
      <w:bookmarkStart w:id="206" w:name="_Toc304295557"/>
      <w:bookmarkEnd w:id="206"/>
      <w:bookmarkStart w:id="207" w:name="_Toc318581173"/>
      <w:bookmarkEnd w:id="207"/>
      <w:bookmarkStart w:id="208" w:name="_Toc297120468"/>
      <w:bookmarkEnd w:id="208"/>
      <w:bookmarkStart w:id="209" w:name="_Toc296346669"/>
      <w:bookmarkEnd w:id="209"/>
      <w:bookmarkStart w:id="210" w:name="_Toc296891208"/>
      <w:bookmarkEnd w:id="210"/>
      <w:bookmarkStart w:id="211" w:name="_Toc296347167"/>
      <w:bookmarkEnd w:id="211"/>
      <w:bookmarkStart w:id="212" w:name="_Toc297216187"/>
      <w:r>
        <w:rPr>
          <w:rFonts w:hint="eastAsia" w:ascii="宋体" w:hAnsi="宋体"/>
          <w:sz w:val="24"/>
        </w:rPr>
        <w:t>.</w:t>
      </w:r>
      <w:r>
        <w:rPr>
          <w:rFonts w:hint="eastAsia" w:ascii="宋体" w:hAnsi="宋体"/>
          <w:sz w:val="24"/>
          <w:lang w:val="en-US" w:eastAsia="zh-CN"/>
        </w:rPr>
        <w:t>4</w:t>
      </w:r>
      <w:r>
        <w:rPr>
          <w:rFonts w:hint="eastAsia" w:ascii="宋体" w:hAnsi="宋体"/>
          <w:sz w:val="24"/>
        </w:rPr>
        <w:t>.1发包人供应的材料设备的保管费用的承担：</w:t>
      </w:r>
      <w:bookmarkEnd w:id="212"/>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4DD858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 xml:space="preserve"> 样品</w:t>
      </w:r>
    </w:p>
    <w:p w14:paraId="35537071">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.1</w:t>
      </w:r>
      <w:r>
        <w:rPr>
          <w:rFonts w:hint="eastAsia" w:ascii="宋体" w:hAnsi="宋体"/>
          <w:sz w:val="24"/>
        </w:rPr>
        <w:tab/>
      </w:r>
      <w:r>
        <w:rPr>
          <w:rFonts w:hint="eastAsia" w:ascii="宋体" w:hAnsi="宋体"/>
          <w:sz w:val="24"/>
        </w:rPr>
        <w:t>样品的报送与封存</w:t>
      </w:r>
    </w:p>
    <w:p w14:paraId="1C2D4F6B">
      <w:pPr>
        <w:keepNext w:val="0"/>
        <w:keepLines w:val="0"/>
        <w:pageBreakBefore w:val="0"/>
        <w:kinsoku/>
        <w:wordWrap/>
        <w:overflowPunct/>
        <w:topLinePunct w:val="0"/>
        <w:autoSpaceDE w:val="0"/>
        <w:autoSpaceDN w:val="0"/>
        <w:bidi w:val="0"/>
        <w:adjustRightInd w:val="0"/>
        <w:spacing w:line="400" w:lineRule="exact"/>
        <w:ind w:firstLine="456" w:firstLineChars="200"/>
        <w:jc w:val="left"/>
        <w:textAlignment w:val="auto"/>
        <w:outlineLvl w:val="9"/>
        <w:rPr>
          <w:rFonts w:hint="eastAsia" w:ascii="宋体" w:hAnsi="宋体"/>
          <w:sz w:val="24"/>
          <w:u w:val="single"/>
        </w:rPr>
      </w:pPr>
      <w:r>
        <w:rPr>
          <w:rFonts w:hint="eastAsia" w:ascii="宋体" w:hAnsi="宋体"/>
          <w:spacing w:val="-6"/>
          <w:sz w:val="24"/>
        </w:rPr>
        <w:t>需要承包人报送样品的材料或工程设备，样品的种类、名称、规格、数量要求</w:t>
      </w:r>
      <w:r>
        <w:rPr>
          <w:rFonts w:hint="eastAsia" w:ascii="宋体" w:hAnsi="宋体"/>
          <w:sz w:val="24"/>
        </w:rPr>
        <w:t>：</w:t>
      </w:r>
      <w:r>
        <w:rPr>
          <w:rFonts w:hint="eastAsia" w:ascii="宋体" w:hAnsi="宋体"/>
          <w:sz w:val="24"/>
          <w:u w:val="single"/>
        </w:rPr>
        <w:t xml:space="preserve">                                       </w:t>
      </w:r>
    </w:p>
    <w:p w14:paraId="275A8D09">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kern w:val="2"/>
          <w:sz w:val="24"/>
          <w:u w:val="single"/>
        </w:rPr>
        <w:t>按管理部门要求和发包人需求确定</w:t>
      </w:r>
      <w:r>
        <w:rPr>
          <w:rFonts w:hint="eastAsia" w:ascii="宋体" w:hAnsi="宋体"/>
          <w:sz w:val="24"/>
          <w:u w:val="single"/>
        </w:rPr>
        <w:t xml:space="preserve"> </w:t>
      </w:r>
      <w:r>
        <w:rPr>
          <w:rFonts w:hint="eastAsia" w:ascii="宋体" w:hAnsi="宋体"/>
          <w:sz w:val="24"/>
        </w:rPr>
        <w:t>。</w:t>
      </w:r>
    </w:p>
    <w:p w14:paraId="2F185B2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8</w:t>
      </w:r>
      <w:r>
        <w:rPr>
          <w:rFonts w:hint="eastAsia" w:ascii="宋体" w:hAnsi="宋体"/>
          <w:sz w:val="24"/>
        </w:rPr>
        <w:t xml:space="preserve"> 施工设备和临时设施</w:t>
      </w:r>
    </w:p>
    <w:p w14:paraId="1CBB405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.1 承包人提供的施工设备和临时设施</w:t>
      </w:r>
    </w:p>
    <w:p w14:paraId="718728B8">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关于修建临时设施费用承担的约定：</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27204DC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13" w:name="_Toc351203641"/>
      <w:bookmarkEnd w:id="213"/>
      <w:r>
        <w:rPr>
          <w:rFonts w:hint="eastAsia" w:ascii="宋体" w:hAnsi="宋体"/>
          <w:sz w:val="24"/>
        </w:rPr>
        <w:t>9</w:t>
      </w:r>
      <w:bookmarkStart w:id="214" w:name="_Toc297120473"/>
      <w:bookmarkEnd w:id="214"/>
      <w:bookmarkStart w:id="215" w:name="_Toc297123533"/>
      <w:bookmarkEnd w:id="215"/>
      <w:bookmarkStart w:id="216" w:name="_Toc267251427"/>
      <w:bookmarkEnd w:id="216"/>
      <w:bookmarkStart w:id="217" w:name="_Toc312678021"/>
      <w:bookmarkEnd w:id="217"/>
      <w:bookmarkStart w:id="218" w:name="_Toc296503173"/>
      <w:bookmarkEnd w:id="218"/>
      <w:bookmarkStart w:id="219" w:name="_Toc296346674"/>
      <w:bookmarkEnd w:id="219"/>
      <w:bookmarkStart w:id="220" w:name="_Toc292559378"/>
      <w:bookmarkEnd w:id="220"/>
      <w:bookmarkStart w:id="221" w:name="_Toc296944512"/>
      <w:bookmarkEnd w:id="221"/>
      <w:bookmarkStart w:id="222" w:name="_Toc303539139"/>
      <w:bookmarkEnd w:id="222"/>
      <w:bookmarkStart w:id="223" w:name="_Toc300934982"/>
      <w:bookmarkEnd w:id="223"/>
      <w:bookmarkStart w:id="224" w:name="_Toc312677495"/>
      <w:bookmarkEnd w:id="224"/>
      <w:bookmarkStart w:id="225" w:name="_Toc304295559"/>
      <w:bookmarkEnd w:id="225"/>
      <w:bookmarkStart w:id="226" w:name="_Toc296891001"/>
      <w:bookmarkEnd w:id="226"/>
      <w:bookmarkStart w:id="227" w:name="_Toc297216192"/>
      <w:bookmarkEnd w:id="227"/>
      <w:bookmarkStart w:id="228" w:name="_Toc267251428"/>
      <w:bookmarkEnd w:id="228"/>
      <w:bookmarkStart w:id="229" w:name="_Toc296891213"/>
      <w:bookmarkEnd w:id="229"/>
      <w:bookmarkStart w:id="230" w:name="_Toc296347172"/>
      <w:bookmarkEnd w:id="230"/>
      <w:bookmarkStart w:id="231" w:name="_Toc297048359"/>
      <w:bookmarkEnd w:id="231"/>
      <w:bookmarkStart w:id="232" w:name="_Toc292559883"/>
      <w:r>
        <w:rPr>
          <w:rFonts w:hint="eastAsia" w:ascii="宋体" w:hAnsi="宋体"/>
          <w:sz w:val="24"/>
        </w:rPr>
        <w:t>. 试验与检验</w:t>
      </w:r>
      <w:bookmarkEnd w:id="232"/>
    </w:p>
    <w:p w14:paraId="4A557B1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bookmarkStart w:id="233" w:name="_Toc300934983"/>
      <w:bookmarkEnd w:id="233"/>
      <w:bookmarkStart w:id="234" w:name="_Toc312678022"/>
      <w:bookmarkEnd w:id="234"/>
      <w:bookmarkStart w:id="235" w:name="_Toc303539140"/>
      <w:bookmarkEnd w:id="235"/>
      <w:bookmarkStart w:id="236" w:name="_Toc297123534"/>
      <w:bookmarkEnd w:id="236"/>
      <w:bookmarkStart w:id="237" w:name="_Toc312677496"/>
      <w:bookmarkEnd w:id="237"/>
      <w:bookmarkStart w:id="238" w:name="_Toc304295560"/>
      <w:bookmarkEnd w:id="238"/>
      <w:bookmarkStart w:id="239" w:name="_Toc297216193"/>
      <w:r>
        <w:rPr>
          <w:rFonts w:hint="eastAsia" w:ascii="宋体" w:hAnsi="宋体"/>
          <w:sz w:val="24"/>
        </w:rPr>
        <w:t>.1试验设备与试验人员</w:t>
      </w:r>
      <w:bookmarkEnd w:id="239"/>
    </w:p>
    <w:p w14:paraId="0968A7B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9</w:t>
      </w:r>
      <w:bookmarkStart w:id="240" w:name="_Toc304295561"/>
      <w:bookmarkEnd w:id="240"/>
      <w:bookmarkStart w:id="241" w:name="_Toc300934984"/>
      <w:bookmarkEnd w:id="241"/>
      <w:bookmarkStart w:id="242" w:name="_Toc303539141"/>
      <w:bookmarkEnd w:id="242"/>
      <w:bookmarkStart w:id="243" w:name="_Toc297216194"/>
      <w:bookmarkEnd w:id="243"/>
      <w:bookmarkStart w:id="244" w:name="_Toc312677497"/>
      <w:bookmarkEnd w:id="244"/>
      <w:bookmarkStart w:id="245" w:name="_Toc297123535"/>
      <w:bookmarkEnd w:id="245"/>
      <w:bookmarkStart w:id="246" w:name="_Toc312678023"/>
      <w:bookmarkEnd w:id="246"/>
      <w:bookmarkStart w:id="247" w:name="_Toc318581174"/>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 xml:space="preserve"> 试验设备</w:t>
      </w:r>
      <w:bookmarkEnd w:id="247"/>
    </w:p>
    <w:p w14:paraId="735382C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施工现场需要配置的试验场所：</w:t>
      </w:r>
      <w:bookmarkStart w:id="248" w:name="_Toc304295562"/>
      <w:bookmarkEnd w:id="248"/>
      <w:bookmarkStart w:id="249" w:name="_Toc303539142"/>
      <w:bookmarkEnd w:id="249"/>
      <w:bookmarkStart w:id="250" w:name="_Toc297216195"/>
      <w:bookmarkEnd w:id="250"/>
      <w:bookmarkStart w:id="251" w:name="_Toc312678024"/>
      <w:bookmarkEnd w:id="251"/>
      <w:bookmarkStart w:id="252" w:name="_Toc297123536"/>
      <w:bookmarkEnd w:id="252"/>
      <w:bookmarkStart w:id="253" w:name="_Toc300934985"/>
      <w:bookmarkEnd w:id="253"/>
      <w:bookmarkStart w:id="254" w:name="_Toc312677498"/>
      <w:bookmarkEnd w:id="254"/>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 xml:space="preserve">。 </w:t>
      </w:r>
    </w:p>
    <w:p w14:paraId="2BD73D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施工现场需要配备的试验设备：</w:t>
      </w:r>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w:t>
      </w:r>
    </w:p>
    <w:p w14:paraId="1F70F6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施工现场需要具备的其他试验条件：</w:t>
      </w:r>
      <w:r>
        <w:rPr>
          <w:rFonts w:hint="eastAsia" w:ascii="宋体" w:hAnsi="宋体"/>
          <w:sz w:val="24"/>
          <w:u w:val="single"/>
        </w:rPr>
        <w:t xml:space="preserve">             /                </w:t>
      </w:r>
      <w:r>
        <w:rPr>
          <w:rFonts w:hint="eastAsia" w:ascii="宋体" w:hAnsi="宋体"/>
          <w:sz w:val="24"/>
        </w:rPr>
        <w:t>。</w:t>
      </w:r>
    </w:p>
    <w:p w14:paraId="542BF4E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r>
        <w:rPr>
          <w:rFonts w:hint="eastAsia" w:ascii="宋体" w:hAnsi="宋体"/>
          <w:sz w:val="24"/>
          <w:lang w:val="en-US" w:eastAsia="zh-CN"/>
        </w:rPr>
        <w:t>4</w:t>
      </w:r>
      <w:r>
        <w:rPr>
          <w:rFonts w:hint="eastAsia" w:ascii="宋体" w:hAnsi="宋体"/>
          <w:sz w:val="24"/>
        </w:rPr>
        <w:t xml:space="preserve"> 现场工艺试验 </w:t>
      </w:r>
    </w:p>
    <w:p w14:paraId="4F37B6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现场工艺试验的有关约定：</w:t>
      </w:r>
      <w:r>
        <w:rPr>
          <w:rFonts w:hint="eastAsia" w:ascii="宋体" w:hAnsi="宋体"/>
          <w:sz w:val="24"/>
          <w:u w:val="single"/>
        </w:rPr>
        <w:t xml:space="preserve">                   /             </w:t>
      </w:r>
      <w:r>
        <w:rPr>
          <w:rFonts w:hint="eastAsia" w:ascii="宋体" w:hAnsi="宋体"/>
          <w:sz w:val="24"/>
        </w:rPr>
        <w:t>。</w:t>
      </w:r>
    </w:p>
    <w:p w14:paraId="1415C61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55" w:name="_Toc351203642"/>
      <w:bookmarkEnd w:id="255"/>
      <w:r>
        <w:rPr>
          <w:rFonts w:hint="eastAsia" w:ascii="宋体" w:hAnsi="宋体"/>
          <w:sz w:val="24"/>
        </w:rPr>
        <w:t>1</w:t>
      </w:r>
      <w:bookmarkStart w:id="256" w:name="_Toc297048379"/>
      <w:bookmarkEnd w:id="256"/>
      <w:bookmarkStart w:id="257" w:name="_Toc267251441"/>
      <w:bookmarkEnd w:id="257"/>
      <w:bookmarkStart w:id="258" w:name="_Toc267251440"/>
      <w:bookmarkEnd w:id="258"/>
      <w:bookmarkStart w:id="259" w:name="_Toc296891233"/>
      <w:bookmarkEnd w:id="259"/>
      <w:bookmarkStart w:id="260" w:name="_Toc292559398"/>
      <w:bookmarkEnd w:id="260"/>
      <w:bookmarkStart w:id="261" w:name="_Toc296503193"/>
      <w:bookmarkEnd w:id="261"/>
      <w:bookmarkStart w:id="262" w:name="_Toc296347192"/>
      <w:bookmarkEnd w:id="262"/>
      <w:bookmarkStart w:id="263" w:name="_Toc267251435"/>
      <w:bookmarkEnd w:id="263"/>
      <w:bookmarkStart w:id="264" w:name="_Toc296346694"/>
      <w:bookmarkEnd w:id="264"/>
      <w:bookmarkStart w:id="265" w:name="_Toc267251437"/>
      <w:bookmarkEnd w:id="265"/>
      <w:bookmarkStart w:id="266" w:name="_Toc267251433"/>
      <w:bookmarkEnd w:id="266"/>
      <w:bookmarkStart w:id="267" w:name="_Toc304295566"/>
      <w:bookmarkEnd w:id="267"/>
      <w:bookmarkStart w:id="268" w:name="_Toc312678025"/>
      <w:bookmarkEnd w:id="268"/>
      <w:bookmarkStart w:id="269" w:name="_Toc312677499"/>
      <w:bookmarkEnd w:id="269"/>
      <w:bookmarkStart w:id="270" w:name="_Toc297123540"/>
      <w:bookmarkEnd w:id="270"/>
      <w:bookmarkStart w:id="271" w:name="_Toc267251439"/>
      <w:bookmarkEnd w:id="271"/>
      <w:bookmarkStart w:id="272" w:name="_Toc300934989"/>
      <w:bookmarkEnd w:id="272"/>
      <w:bookmarkStart w:id="273" w:name="_Toc296944532"/>
      <w:bookmarkEnd w:id="273"/>
      <w:bookmarkStart w:id="274" w:name="_Toc297216199"/>
      <w:bookmarkEnd w:id="274"/>
      <w:bookmarkStart w:id="275" w:name="_Toc297120493"/>
      <w:bookmarkEnd w:id="275"/>
      <w:bookmarkStart w:id="276" w:name="_Toc296891021"/>
      <w:bookmarkEnd w:id="276"/>
      <w:bookmarkStart w:id="277" w:name="_Toc292559903"/>
      <w:bookmarkEnd w:id="277"/>
      <w:bookmarkStart w:id="278" w:name="_Toc303539146"/>
      <w:bookmarkEnd w:id="278"/>
      <w:bookmarkStart w:id="279" w:name="_Toc267251442"/>
      <w:r>
        <w:rPr>
          <w:rFonts w:hint="eastAsia" w:ascii="宋体" w:hAnsi="宋体"/>
          <w:sz w:val="24"/>
        </w:rPr>
        <w:t>0. 变更</w:t>
      </w:r>
      <w:bookmarkEnd w:id="279"/>
    </w:p>
    <w:p w14:paraId="1B2524B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80" w:name="_Toc296891234"/>
      <w:bookmarkEnd w:id="280"/>
      <w:bookmarkStart w:id="281" w:name="_Toc296891022"/>
      <w:bookmarkEnd w:id="281"/>
      <w:bookmarkStart w:id="282" w:name="_Toc297216200"/>
      <w:bookmarkEnd w:id="282"/>
      <w:bookmarkStart w:id="283" w:name="_Toc303539147"/>
      <w:bookmarkEnd w:id="283"/>
      <w:bookmarkStart w:id="284" w:name="_Toc296944533"/>
      <w:bookmarkEnd w:id="284"/>
      <w:bookmarkStart w:id="285" w:name="_Toc297123541"/>
      <w:bookmarkEnd w:id="285"/>
      <w:bookmarkStart w:id="286" w:name="_Toc296503194"/>
      <w:bookmarkEnd w:id="286"/>
      <w:bookmarkStart w:id="287" w:name="_Toc296347193"/>
      <w:bookmarkEnd w:id="287"/>
      <w:bookmarkStart w:id="288" w:name="_Toc292559399"/>
      <w:bookmarkEnd w:id="288"/>
      <w:bookmarkStart w:id="289" w:name="_Toc312677500"/>
      <w:bookmarkEnd w:id="289"/>
      <w:bookmarkStart w:id="290" w:name="_Toc292559904"/>
      <w:bookmarkEnd w:id="290"/>
      <w:bookmarkStart w:id="291" w:name="_Toc297048380"/>
      <w:bookmarkEnd w:id="291"/>
      <w:bookmarkStart w:id="292" w:name="_Toc296346695"/>
      <w:bookmarkEnd w:id="292"/>
      <w:bookmarkStart w:id="293" w:name="_Toc312678026"/>
      <w:bookmarkEnd w:id="293"/>
      <w:bookmarkStart w:id="294" w:name="_Toc300934990"/>
      <w:bookmarkEnd w:id="294"/>
      <w:bookmarkStart w:id="295" w:name="_Toc304295567"/>
      <w:bookmarkEnd w:id="295"/>
      <w:bookmarkStart w:id="296" w:name="_Toc297120494"/>
      <w:r>
        <w:rPr>
          <w:rFonts w:hint="eastAsia" w:ascii="宋体" w:hAnsi="宋体"/>
          <w:sz w:val="24"/>
        </w:rPr>
        <w:t>0.1变更的范围</w:t>
      </w:r>
      <w:bookmarkEnd w:id="296"/>
    </w:p>
    <w:p w14:paraId="5293B32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关于变更的范围的约定：</w:t>
      </w:r>
      <w:r>
        <w:rPr>
          <w:rFonts w:hint="eastAsia" w:ascii="宋体" w:hAnsi="宋体"/>
          <w:sz w:val="24"/>
          <w:u w:val="single"/>
        </w:rPr>
        <w:t xml:space="preserve">           </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7923594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 xml:space="preserve"> 变更估价</w:t>
      </w:r>
    </w:p>
    <w:p w14:paraId="621039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.1 变更估价原则</w:t>
      </w:r>
    </w:p>
    <w:p w14:paraId="74E1654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 xml:space="preserve">关于变更估价的约定: </w:t>
      </w:r>
      <w:r>
        <w:rPr>
          <w:rFonts w:hint="eastAsia" w:ascii="宋体" w:hAnsi="宋体"/>
          <w:sz w:val="24"/>
          <w:u w:val="single"/>
        </w:rPr>
        <w:t xml:space="preserve"> </w:t>
      </w:r>
      <w:r>
        <w:rPr>
          <w:rFonts w:hint="eastAsia" w:ascii="宋体" w:hAnsi="宋体"/>
          <w:kern w:val="2"/>
          <w:sz w:val="24"/>
          <w:u w:val="single"/>
        </w:rPr>
        <w:t>①合同中有相同或类似工程项目单价的，可以参照合同中相同或类似项目的综合单价计算确定。</w:t>
      </w:r>
    </w:p>
    <w:p w14:paraId="46E5B23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下浮比例调整后作为结算的依据。</w:t>
      </w:r>
    </w:p>
    <w:p w14:paraId="0C572B3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③由于清单项目中项目特征或工程内容发生部分变更的，应以原综合单价为基础，仅就变更部分相应定额子目调整综合单价。</w:t>
      </w:r>
    </w:p>
    <w:p w14:paraId="2773E6A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97" w:name="_Toc297048383"/>
      <w:bookmarkEnd w:id="297"/>
      <w:bookmarkStart w:id="298" w:name="_Toc296347196"/>
      <w:bookmarkEnd w:id="298"/>
      <w:bookmarkStart w:id="299" w:name="_Toc297216203"/>
      <w:bookmarkEnd w:id="299"/>
      <w:bookmarkStart w:id="300" w:name="_Toc312678029"/>
      <w:bookmarkEnd w:id="300"/>
      <w:bookmarkStart w:id="301" w:name="_Toc296503197"/>
      <w:bookmarkEnd w:id="301"/>
      <w:bookmarkStart w:id="302" w:name="_Toc292559907"/>
      <w:bookmarkEnd w:id="302"/>
      <w:bookmarkStart w:id="303" w:name="_Toc296944536"/>
      <w:bookmarkEnd w:id="303"/>
      <w:bookmarkStart w:id="304" w:name="_Toc296891237"/>
      <w:bookmarkEnd w:id="304"/>
      <w:bookmarkStart w:id="305" w:name="_Toc296346698"/>
      <w:bookmarkEnd w:id="305"/>
      <w:bookmarkStart w:id="306" w:name="_Toc297120497"/>
      <w:bookmarkEnd w:id="306"/>
      <w:bookmarkStart w:id="307" w:name="_Toc296891025"/>
      <w:bookmarkEnd w:id="307"/>
      <w:bookmarkStart w:id="308" w:name="_Toc300934993"/>
      <w:bookmarkEnd w:id="308"/>
      <w:bookmarkStart w:id="309" w:name="_Toc292559402"/>
      <w:bookmarkEnd w:id="309"/>
      <w:bookmarkStart w:id="310" w:name="_Toc303539150"/>
      <w:bookmarkEnd w:id="310"/>
      <w:bookmarkStart w:id="311" w:name="_Toc297123544"/>
      <w:bookmarkEnd w:id="311"/>
      <w:bookmarkStart w:id="312" w:name="_Toc304295570"/>
      <w:bookmarkEnd w:id="312"/>
      <w:bookmarkStart w:id="313" w:name="_Toc312677503"/>
      <w:bookmarkEnd w:id="313"/>
      <w:r>
        <w:rPr>
          <w:rFonts w:hint="eastAsia" w:ascii="宋体" w:hAnsi="宋体"/>
          <w:sz w:val="24"/>
        </w:rPr>
        <w:t>0.</w:t>
      </w:r>
      <w:r>
        <w:rPr>
          <w:rFonts w:hint="eastAsia" w:ascii="宋体" w:hAnsi="宋体"/>
          <w:sz w:val="24"/>
          <w:lang w:val="en-US" w:eastAsia="zh-CN"/>
        </w:rPr>
        <w:t>5</w:t>
      </w:r>
      <w:r>
        <w:rPr>
          <w:rFonts w:hint="eastAsia" w:ascii="宋体" w:hAnsi="宋体"/>
          <w:sz w:val="24"/>
        </w:rPr>
        <w:t>承</w:t>
      </w:r>
      <w:bookmarkStart w:id="314" w:name="_Toc296503203"/>
      <w:bookmarkEnd w:id="314"/>
      <w:bookmarkStart w:id="315" w:name="_Toc297048389"/>
      <w:bookmarkEnd w:id="315"/>
      <w:bookmarkStart w:id="316" w:name="_Toc296891031"/>
      <w:bookmarkEnd w:id="316"/>
      <w:bookmarkStart w:id="317" w:name="_Toc296347202"/>
      <w:bookmarkEnd w:id="317"/>
      <w:bookmarkStart w:id="318" w:name="_Toc296891243"/>
      <w:bookmarkEnd w:id="318"/>
      <w:bookmarkStart w:id="319" w:name="_Toc303539151"/>
      <w:bookmarkEnd w:id="319"/>
      <w:bookmarkStart w:id="320" w:name="_Toc297216204"/>
      <w:bookmarkEnd w:id="320"/>
      <w:bookmarkStart w:id="321" w:name="_Toc292559913"/>
      <w:bookmarkEnd w:id="321"/>
      <w:bookmarkStart w:id="322" w:name="_Toc297120503"/>
      <w:bookmarkEnd w:id="322"/>
      <w:bookmarkStart w:id="323" w:name="_Toc297123545"/>
      <w:bookmarkEnd w:id="323"/>
      <w:bookmarkStart w:id="324" w:name="_Toc292559408"/>
      <w:bookmarkEnd w:id="324"/>
      <w:bookmarkStart w:id="325" w:name="_Toc296346704"/>
      <w:bookmarkEnd w:id="325"/>
      <w:bookmarkStart w:id="326" w:name="_Toc296944542"/>
      <w:bookmarkEnd w:id="326"/>
      <w:bookmarkStart w:id="327" w:name="_Toc300934994"/>
      <w:bookmarkEnd w:id="327"/>
      <w:r>
        <w:rPr>
          <w:rFonts w:hint="eastAsia" w:ascii="宋体" w:hAnsi="宋体"/>
          <w:sz w:val="24"/>
        </w:rPr>
        <w:t>包人的合理化建议</w:t>
      </w:r>
    </w:p>
    <w:p w14:paraId="3CF9C6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监理人审查承包人合理化建议的期限：</w:t>
      </w:r>
      <w:r>
        <w:rPr>
          <w:rFonts w:hint="eastAsia" w:ascii="宋体" w:hAnsi="宋体"/>
          <w:sz w:val="24"/>
          <w:u w:val="single"/>
        </w:rPr>
        <w:t xml:space="preserve">         /          </w:t>
      </w:r>
      <w:r>
        <w:rPr>
          <w:rFonts w:hint="eastAsia" w:ascii="宋体" w:hAnsi="宋体"/>
          <w:sz w:val="24"/>
        </w:rPr>
        <w:t>。</w:t>
      </w:r>
    </w:p>
    <w:p w14:paraId="68644B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发包人审批承包人合理化建议的期限：</w:t>
      </w:r>
      <w:r>
        <w:rPr>
          <w:rFonts w:hint="eastAsia" w:ascii="宋体" w:hAnsi="宋体"/>
          <w:sz w:val="24"/>
          <w:u w:val="single"/>
        </w:rPr>
        <w:t xml:space="preserve">         /          </w:t>
      </w:r>
      <w:r>
        <w:rPr>
          <w:rFonts w:hint="eastAsia" w:ascii="宋体" w:hAnsi="宋体"/>
          <w:sz w:val="24"/>
        </w:rPr>
        <w:t>。</w:t>
      </w:r>
    </w:p>
    <w:p w14:paraId="582A992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承</w:t>
      </w:r>
      <w:bookmarkStart w:id="328" w:name="_Toc296503204"/>
      <w:bookmarkEnd w:id="328"/>
      <w:bookmarkStart w:id="329" w:name="_Toc297123546"/>
      <w:bookmarkEnd w:id="329"/>
      <w:bookmarkStart w:id="330" w:name="_Toc312678030"/>
      <w:bookmarkEnd w:id="330"/>
      <w:bookmarkStart w:id="331" w:name="_Toc296346705"/>
      <w:bookmarkEnd w:id="331"/>
      <w:bookmarkStart w:id="332" w:name="_Toc296891244"/>
      <w:bookmarkEnd w:id="332"/>
      <w:bookmarkStart w:id="333" w:name="_Toc292559409"/>
      <w:bookmarkEnd w:id="333"/>
      <w:bookmarkStart w:id="334" w:name="_Toc312677504"/>
      <w:bookmarkEnd w:id="334"/>
      <w:bookmarkStart w:id="335" w:name="_Toc318581175"/>
      <w:bookmarkEnd w:id="335"/>
      <w:bookmarkStart w:id="336" w:name="_Toc296347203"/>
      <w:bookmarkEnd w:id="336"/>
      <w:bookmarkStart w:id="337" w:name="_Toc300934995"/>
      <w:bookmarkEnd w:id="337"/>
      <w:bookmarkStart w:id="338" w:name="_Toc297048390"/>
      <w:bookmarkEnd w:id="338"/>
      <w:bookmarkStart w:id="339" w:name="_Toc297120504"/>
      <w:bookmarkEnd w:id="339"/>
      <w:bookmarkStart w:id="340" w:name="_Toc292559914"/>
      <w:bookmarkEnd w:id="340"/>
      <w:bookmarkStart w:id="341" w:name="_Toc297216205"/>
      <w:bookmarkEnd w:id="341"/>
      <w:bookmarkStart w:id="342" w:name="_Toc296944543"/>
      <w:bookmarkEnd w:id="342"/>
      <w:bookmarkStart w:id="343" w:name="_Toc304295571"/>
      <w:bookmarkEnd w:id="343"/>
      <w:bookmarkStart w:id="344" w:name="_Toc296891032"/>
      <w:bookmarkEnd w:id="344"/>
      <w:bookmarkStart w:id="345" w:name="_Toc303539152"/>
      <w:r>
        <w:rPr>
          <w:rFonts w:hint="eastAsia" w:ascii="宋体" w:hAnsi="宋体"/>
          <w:sz w:val="24"/>
        </w:rPr>
        <w:t>包人提出的合理化建议降低了合同价格或者提高了工程经济效益的奖励的方法和金额为：</w:t>
      </w:r>
      <w:bookmarkEnd w:id="345"/>
      <w:r>
        <w:rPr>
          <w:rFonts w:hint="eastAsia" w:ascii="宋体" w:hAnsi="宋体"/>
          <w:sz w:val="24"/>
          <w:u w:val="single"/>
        </w:rPr>
        <w:t xml:space="preserve">                 /                  </w:t>
      </w:r>
      <w:r>
        <w:rPr>
          <w:rFonts w:hint="eastAsia" w:ascii="宋体" w:hAnsi="宋体"/>
          <w:sz w:val="24"/>
        </w:rPr>
        <w:t>。</w:t>
      </w:r>
    </w:p>
    <w:p w14:paraId="15591C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346" w:name="_Toc312677507"/>
      <w:bookmarkEnd w:id="346"/>
      <w:bookmarkStart w:id="347" w:name="_Toc303539154"/>
      <w:bookmarkEnd w:id="347"/>
      <w:bookmarkStart w:id="348" w:name="_Toc300934997"/>
      <w:bookmarkEnd w:id="348"/>
      <w:bookmarkStart w:id="349" w:name="_Toc297120499"/>
      <w:bookmarkEnd w:id="349"/>
      <w:bookmarkStart w:id="350" w:name="_Toc297216207"/>
      <w:bookmarkEnd w:id="350"/>
      <w:bookmarkStart w:id="351" w:name="_Toc292559909"/>
      <w:bookmarkEnd w:id="351"/>
      <w:bookmarkStart w:id="352" w:name="_Toc296891027"/>
      <w:bookmarkEnd w:id="352"/>
      <w:bookmarkStart w:id="353" w:name="_Toc297048385"/>
      <w:bookmarkEnd w:id="353"/>
      <w:bookmarkStart w:id="354" w:name="_Toc296944538"/>
      <w:bookmarkEnd w:id="354"/>
      <w:bookmarkStart w:id="355" w:name="_Toc304295574"/>
      <w:bookmarkEnd w:id="355"/>
      <w:bookmarkStart w:id="356" w:name="_Toc296503199"/>
      <w:bookmarkEnd w:id="356"/>
      <w:bookmarkStart w:id="357" w:name="_Toc296346700"/>
      <w:bookmarkEnd w:id="357"/>
      <w:bookmarkStart w:id="358" w:name="_Toc296891239"/>
      <w:bookmarkEnd w:id="358"/>
      <w:bookmarkStart w:id="359" w:name="_Toc296347198"/>
      <w:bookmarkEnd w:id="359"/>
      <w:bookmarkStart w:id="360" w:name="_Toc292559404"/>
      <w:bookmarkEnd w:id="360"/>
      <w:bookmarkStart w:id="361" w:name="_Toc312678033"/>
      <w:bookmarkEnd w:id="361"/>
      <w:bookmarkStart w:id="362" w:name="_Toc297123548"/>
      <w:r>
        <w:rPr>
          <w:rFonts w:hint="eastAsia" w:ascii="宋体" w:hAnsi="宋体"/>
          <w:sz w:val="24"/>
        </w:rPr>
        <w:t>0.</w:t>
      </w:r>
      <w:r>
        <w:rPr>
          <w:rFonts w:hint="eastAsia" w:ascii="宋体" w:hAnsi="宋体"/>
          <w:sz w:val="24"/>
          <w:lang w:val="en-US" w:eastAsia="zh-CN"/>
        </w:rPr>
        <w:t>7</w:t>
      </w:r>
      <w:r>
        <w:rPr>
          <w:rFonts w:hint="eastAsia" w:ascii="宋体" w:hAnsi="宋体"/>
          <w:sz w:val="24"/>
        </w:rPr>
        <w:t xml:space="preserve"> 暂估价</w:t>
      </w:r>
      <w:bookmarkEnd w:id="362"/>
    </w:p>
    <w:p w14:paraId="7EBED1C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color w:val="auto"/>
          <w:sz w:val="24"/>
        </w:rPr>
      </w:pPr>
      <w:r>
        <w:rPr>
          <w:rFonts w:hint="eastAsia" w:ascii="宋体" w:hAnsi="宋体"/>
          <w:color w:val="auto"/>
          <w:sz w:val="24"/>
        </w:rPr>
        <w:t>暂</w:t>
      </w:r>
      <w:bookmarkStart w:id="363" w:name="_Toc318581176"/>
      <w:bookmarkEnd w:id="363"/>
      <w:bookmarkStart w:id="364" w:name="_Toc312678034"/>
      <w:bookmarkEnd w:id="364"/>
      <w:bookmarkStart w:id="365" w:name="_Toc312677508"/>
      <w:r>
        <w:rPr>
          <w:rFonts w:hint="eastAsia" w:ascii="宋体" w:hAnsi="宋体"/>
          <w:color w:val="auto"/>
          <w:sz w:val="24"/>
        </w:rPr>
        <w:t>估价材料和工程设备的明细详见附件</w:t>
      </w:r>
      <w:bookmarkEnd w:id="365"/>
      <w:r>
        <w:rPr>
          <w:rFonts w:hint="eastAsia" w:ascii="宋体" w:hAnsi="宋体"/>
          <w:color w:val="auto"/>
          <w:sz w:val="24"/>
          <w:lang w:val="en-US" w:eastAsia="zh-CN"/>
        </w:rPr>
        <w:t>9</w:t>
      </w:r>
      <w:r>
        <w:rPr>
          <w:rFonts w:hint="eastAsia" w:ascii="宋体" w:hAnsi="宋体"/>
          <w:color w:val="auto"/>
          <w:sz w:val="24"/>
        </w:rPr>
        <w:t>：《暂估价一览表》。</w:t>
      </w:r>
    </w:p>
    <w:p w14:paraId="31406A1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366" w:name="_Toc318581177"/>
      <w:bookmarkEnd w:id="366"/>
      <w:bookmarkStart w:id="367" w:name="_Toc312677509"/>
      <w:bookmarkEnd w:id="367"/>
      <w:bookmarkStart w:id="368" w:name="_Toc312678035"/>
      <w:r>
        <w:rPr>
          <w:rFonts w:hint="eastAsia" w:ascii="宋体" w:hAnsi="宋体"/>
          <w:sz w:val="24"/>
        </w:rPr>
        <w:t>0.</w:t>
      </w:r>
      <w:r>
        <w:rPr>
          <w:rFonts w:hint="eastAsia" w:ascii="宋体" w:hAnsi="宋体"/>
          <w:sz w:val="24"/>
          <w:lang w:val="en-US" w:eastAsia="zh-CN"/>
        </w:rPr>
        <w:t>7</w:t>
      </w:r>
      <w:r>
        <w:rPr>
          <w:rFonts w:hint="eastAsia" w:ascii="宋体" w:hAnsi="宋体"/>
          <w:sz w:val="24"/>
        </w:rPr>
        <w:t>.1 依法必须招标的暂估价项目</w:t>
      </w:r>
      <w:bookmarkEnd w:id="368"/>
    </w:p>
    <w:p w14:paraId="4DC408E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对于依法必须招标的暂估价项目的确认和批准采取第</w:t>
      </w:r>
      <w:r>
        <w:rPr>
          <w:rFonts w:hint="eastAsia" w:ascii="宋体" w:hAnsi="宋体"/>
          <w:sz w:val="24"/>
          <w:u w:val="single"/>
        </w:rPr>
        <w:t xml:space="preserve"> 2 </w:t>
      </w:r>
      <w:r>
        <w:rPr>
          <w:rFonts w:hint="eastAsia" w:ascii="宋体" w:hAnsi="宋体"/>
          <w:sz w:val="24"/>
        </w:rPr>
        <w:t>种方式确定。</w:t>
      </w:r>
    </w:p>
    <w:p w14:paraId="22665B4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第1种方式：对于依法必须招标的暂估价项目，由承包人招标，对该暂估价项目的确认和批准按照以下约定执行：</w:t>
      </w:r>
    </w:p>
    <w:p w14:paraId="11E72A9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041F4A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71377B5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spacing w:val="-10"/>
          <w:kern w:val="2"/>
          <w:sz w:val="24"/>
        </w:rPr>
        <w:t>共同确定中标人；承包人应当在签订合同后7天内，将暂估价合同副本报送发包人留存。</w:t>
      </w:r>
    </w:p>
    <w:p w14:paraId="17E6D043">
      <w:pPr>
        <w:keepNext w:val="0"/>
        <w:keepLines w:val="0"/>
        <w:pageBreakBefore w:val="0"/>
        <w:kinsoku/>
        <w:wordWrap/>
        <w:overflowPunct/>
        <w:topLinePunct w:val="0"/>
        <w:bidi w:val="0"/>
        <w:spacing w:line="400" w:lineRule="exact"/>
        <w:ind w:firstLine="480" w:firstLineChars="200"/>
        <w:textAlignment w:val="auto"/>
        <w:outlineLvl w:val="9"/>
        <w:rPr>
          <w:rFonts w:hint="eastAsia" w:ascii="黑体" w:hAnsi="宋体" w:eastAsia="黑体" w:cs="宋体"/>
          <w:color w:val="FF0000"/>
          <w:kern w:val="2"/>
          <w:sz w:val="24"/>
        </w:rPr>
      </w:pPr>
      <w:r>
        <w:rPr>
          <w:rFonts w:hint="eastAsia" w:ascii="宋体" w:hAnsi="宋体"/>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FE59DB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7</w:t>
      </w:r>
      <w:r>
        <w:rPr>
          <w:rFonts w:hint="eastAsia" w:ascii="宋体" w:hAnsi="宋体"/>
          <w:sz w:val="24"/>
        </w:rPr>
        <w:t>.2 不属于依法必须招标的暂估价项目</w:t>
      </w:r>
    </w:p>
    <w:p w14:paraId="1621E7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对于不属于依法必须招标的暂估价项目的确认和批准采取第</w:t>
      </w:r>
      <w:r>
        <w:rPr>
          <w:rFonts w:hint="eastAsia" w:ascii="宋体" w:hAnsi="宋体"/>
          <w:sz w:val="24"/>
          <w:u w:val="single"/>
        </w:rPr>
        <w:t xml:space="preserve"> 1 </w:t>
      </w:r>
      <w:r>
        <w:rPr>
          <w:rFonts w:hint="eastAsia" w:ascii="宋体" w:hAnsi="宋体"/>
          <w:sz w:val="24"/>
        </w:rPr>
        <w:t xml:space="preserve"> 种方式确定。</w:t>
      </w:r>
    </w:p>
    <w:p w14:paraId="030A3C99">
      <w:pPr>
        <w:keepNext w:val="0"/>
        <w:keepLines w:val="0"/>
        <w:pageBreakBefore w:val="0"/>
        <w:kinsoku/>
        <w:wordWrap/>
        <w:overflowPunct/>
        <w:topLinePunct w:val="0"/>
        <w:bidi w:val="0"/>
        <w:spacing w:line="400" w:lineRule="exact"/>
        <w:ind w:firstLine="464" w:firstLineChars="200"/>
        <w:textAlignment w:val="auto"/>
        <w:outlineLvl w:val="9"/>
        <w:rPr>
          <w:rFonts w:hint="eastAsia" w:ascii="宋体" w:hAnsi="宋体"/>
          <w:spacing w:val="-4"/>
          <w:sz w:val="24"/>
        </w:rPr>
      </w:pPr>
      <w:r>
        <w:rPr>
          <w:rFonts w:hint="eastAsia" w:ascii="宋体" w:hAnsi="宋体"/>
          <w:spacing w:val="-4"/>
          <w:sz w:val="24"/>
        </w:rPr>
        <w:t>第1种方式：对于不属于依法必须招标的暂估价项目，按本项约定确认和批准：</w:t>
      </w:r>
    </w:p>
    <w:p w14:paraId="463F97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E559B0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（2）发包人认为承包人确定的供应商、分包人无法满足工程质量或合同要求的，发包人可以要求承包人重新确定暂估价项目的供应商、分包人;</w:t>
      </w:r>
    </w:p>
    <w:p w14:paraId="4C0790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pacing w:val="-8"/>
          <w:sz w:val="24"/>
        </w:rPr>
        <w:t>承包人应当在签订暂估价合同后7天内，将暂估价合同副本报送发包人留存。</w:t>
      </w:r>
    </w:p>
    <w:p w14:paraId="39A7416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第2种方式：承包人按照第10.7.1项〔依法必须招标的暂估价项目〕约定的第1种方式确定暂估价项目。</w:t>
      </w:r>
    </w:p>
    <w:p w14:paraId="19DCD41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第3种方式：承包人直接实施的暂估价项目</w:t>
      </w:r>
    </w:p>
    <w:p w14:paraId="7143B1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承包人直接实施的暂估价项目的约定：</w:t>
      </w:r>
      <w:r>
        <w:rPr>
          <w:rFonts w:hint="eastAsia" w:ascii="宋体" w:hAnsi="宋体"/>
          <w:sz w:val="24"/>
          <w:u w:val="single"/>
        </w:rPr>
        <w:t xml:space="preserve"> 暂估价（或者成活价）材料采购，项目实施期间承包人必须在采购前提出使用计划提请发包人进行认质认价，由承包人提出品牌和价格，报招标人审核同意后执行</w:t>
      </w:r>
      <w:r>
        <w:rPr>
          <w:rFonts w:hint="eastAsia" w:ascii="宋体" w:hAnsi="宋体"/>
          <w:sz w:val="24"/>
          <w:u w:val="none"/>
        </w:rPr>
        <w:t>。</w:t>
      </w:r>
    </w:p>
    <w:p w14:paraId="1483E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8</w:t>
      </w:r>
      <w:r>
        <w:rPr>
          <w:rFonts w:hint="eastAsia" w:ascii="宋体" w:hAnsi="宋体"/>
          <w:sz w:val="24"/>
        </w:rPr>
        <w:t xml:space="preserve"> 暂列金额</w:t>
      </w:r>
    </w:p>
    <w:p w14:paraId="1DBE624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合同当事人关于暂列金额使用的约定：</w:t>
      </w:r>
      <w:r>
        <w:rPr>
          <w:rFonts w:hint="eastAsia" w:ascii="宋体" w:hAnsi="宋体"/>
          <w:sz w:val="24"/>
          <w:u w:val="single"/>
        </w:rPr>
        <w:t xml:space="preserve">      </w:t>
      </w:r>
      <w:r>
        <w:rPr>
          <w:rFonts w:hint="eastAsia" w:ascii="宋体" w:hAnsi="宋体"/>
          <w:sz w:val="24"/>
          <w:u w:val="single"/>
          <w:lang w:val="en-US" w:eastAsia="zh-CN"/>
        </w:rPr>
        <w:t>双方另行约定</w:t>
      </w:r>
      <w:r>
        <w:rPr>
          <w:rFonts w:hint="eastAsia" w:ascii="宋体" w:hAnsi="宋体"/>
          <w:sz w:val="24"/>
          <w:u w:val="single"/>
        </w:rPr>
        <w:t xml:space="preserve">         </w:t>
      </w:r>
      <w:r>
        <w:rPr>
          <w:rFonts w:hint="eastAsia" w:ascii="宋体" w:hAnsi="宋体"/>
          <w:sz w:val="24"/>
        </w:rPr>
        <w:t>。</w:t>
      </w:r>
    </w:p>
    <w:p w14:paraId="2B58DA11">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69" w:name="_Toc351203643"/>
      <w:bookmarkEnd w:id="369"/>
      <w:r>
        <w:rPr>
          <w:rFonts w:hint="eastAsia" w:ascii="宋体" w:hAnsi="宋体"/>
          <w:sz w:val="24"/>
        </w:rPr>
        <w:t>11. 价格调整</w:t>
      </w:r>
    </w:p>
    <w:p w14:paraId="0C12087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370" w:name="_Toc296346702"/>
      <w:bookmarkEnd w:id="370"/>
      <w:bookmarkStart w:id="371" w:name="_Toc296347200"/>
      <w:bookmarkEnd w:id="371"/>
      <w:bookmarkStart w:id="372" w:name="_Toc296503201"/>
      <w:bookmarkEnd w:id="372"/>
      <w:bookmarkStart w:id="373" w:name="_Toc312678039"/>
      <w:bookmarkEnd w:id="373"/>
      <w:bookmarkStart w:id="374" w:name="_Toc296891241"/>
      <w:bookmarkEnd w:id="374"/>
      <w:bookmarkStart w:id="375" w:name="_Toc297120501"/>
      <w:bookmarkEnd w:id="375"/>
      <w:bookmarkStart w:id="376" w:name="_Toc304295577"/>
      <w:bookmarkEnd w:id="376"/>
      <w:bookmarkStart w:id="377" w:name="_Toc292559911"/>
      <w:bookmarkEnd w:id="377"/>
      <w:bookmarkStart w:id="378" w:name="_Toc300935000"/>
      <w:bookmarkEnd w:id="378"/>
      <w:bookmarkStart w:id="379" w:name="_Toc297216209"/>
      <w:bookmarkEnd w:id="379"/>
      <w:bookmarkStart w:id="380" w:name="_Toc296944540"/>
      <w:bookmarkEnd w:id="380"/>
      <w:bookmarkStart w:id="381" w:name="_Toc296891029"/>
      <w:bookmarkEnd w:id="381"/>
      <w:bookmarkStart w:id="382" w:name="_Toc297123550"/>
      <w:bookmarkEnd w:id="382"/>
      <w:bookmarkStart w:id="383" w:name="_Toc292559406"/>
      <w:bookmarkEnd w:id="383"/>
      <w:bookmarkStart w:id="384" w:name="_Toc297048387"/>
      <w:bookmarkEnd w:id="384"/>
      <w:bookmarkStart w:id="385" w:name="_Toc303539157"/>
      <w:r>
        <w:rPr>
          <w:rFonts w:hint="eastAsia" w:ascii="宋体" w:hAnsi="宋体"/>
          <w:sz w:val="24"/>
        </w:rPr>
        <w:t>11.1 市场价格波动引起的调整</w:t>
      </w:r>
      <w:bookmarkEnd w:id="385"/>
    </w:p>
    <w:p w14:paraId="23EDB42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市场价格波动是否调整合同价格的约定：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C7B5AC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因市场价格波动调整合同价格，采用以下第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种方式对合同价格进行调整：</w:t>
      </w:r>
    </w:p>
    <w:p w14:paraId="71AB56C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第1种方式：采用价格指数进行价格调整。</w:t>
      </w:r>
    </w:p>
    <w:p w14:paraId="3612F51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关于各可调因子、定值和变值权重，以及基本价格指数及其来源的约定：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p>
    <w:p w14:paraId="33C9450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第2种方式：采用造价信息进行价格调整。</w:t>
      </w:r>
    </w:p>
    <w:p w14:paraId="31AC401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（2）关于基准价格的约定：</w:t>
      </w:r>
    </w:p>
    <w:p w14:paraId="3FF5063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sz w:val="24"/>
          <w:u w:val="single"/>
        </w:rPr>
        <w:t xml:space="preserve"> </w:t>
      </w:r>
      <w:r>
        <w:rPr>
          <w:rFonts w:hint="eastAsia" w:ascii="宋体" w:hAnsi="宋体"/>
          <w:sz w:val="24"/>
          <w:u w:val="single"/>
          <w:lang w:val="en-US" w:eastAsia="zh-CN"/>
        </w:rPr>
        <w:t>5</w:t>
      </w:r>
      <w:r>
        <w:rPr>
          <w:rFonts w:hint="eastAsia" w:ascii="宋体" w:hAnsi="宋体"/>
          <w:sz w:val="24"/>
          <w:u w:val="single"/>
        </w:rPr>
        <w:t xml:space="preserve"> </w:t>
      </w:r>
      <w:r>
        <w:rPr>
          <w:rFonts w:hint="eastAsia" w:ascii="宋体" w:hAnsi="宋体"/>
          <w:sz w:val="24"/>
        </w:rPr>
        <w:t>%时，或材料单价跌幅以已标价工程量清单或预算书中载明材料单价为基础超过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5 </w:t>
      </w:r>
      <w:r>
        <w:rPr>
          <w:rFonts w:hint="eastAsia" w:ascii="宋体" w:hAnsi="宋体"/>
          <w:sz w:val="24"/>
          <w:u w:val="single"/>
        </w:rPr>
        <w:t xml:space="preserve"> </w:t>
      </w:r>
      <w:r>
        <w:rPr>
          <w:rFonts w:hint="eastAsia" w:ascii="宋体" w:hAnsi="宋体"/>
          <w:sz w:val="24"/>
        </w:rPr>
        <w:t>%时，其超过部分据实调整。</w:t>
      </w:r>
    </w:p>
    <w:p w14:paraId="3D63624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②承包人在已标价工程量清单或预算书中载明的材料单价高于基准价格的：专用合同条款合同履行期间材料单价跌幅以基准价格为基础超过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%时，材料单价涨幅以已标价工程量清单或预算书中载明材料单价为基础超过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 5</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%时，其超过部分据实调整。</w:t>
      </w:r>
    </w:p>
    <w:p w14:paraId="73D55EE8">
      <w:pPr>
        <w:keepNext w:val="0"/>
        <w:keepLines w:val="0"/>
        <w:pageBreakBefore w:val="0"/>
        <w:kinsoku/>
        <w:wordWrap/>
        <w:overflowPunct/>
        <w:topLinePunct w:val="0"/>
        <w:bidi w:val="0"/>
        <w:spacing w:line="400" w:lineRule="exact"/>
        <w:ind w:firstLine="645"/>
        <w:jc w:val="left"/>
        <w:textAlignment w:val="auto"/>
        <w:outlineLvl w:val="9"/>
        <w:rPr>
          <w:rFonts w:hint="eastAsia" w:ascii="宋体" w:hAnsi="宋体"/>
          <w:sz w:val="24"/>
        </w:rPr>
      </w:pPr>
      <w:r>
        <w:rPr>
          <w:rFonts w:hint="eastAsia" w:ascii="宋体" w:hAnsi="宋体"/>
          <w:sz w:val="24"/>
        </w:rPr>
        <w:t>③承包人在已标价工程量清单或预算书中载明的材料单价等于基准单价的：专用合同条款合同履行期间材料单价涨跌幅以基准单价为基础超过±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%时，其超过部分据实调整。</w:t>
      </w:r>
    </w:p>
    <w:p w14:paraId="7B4D8CA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第3种方式：其他价格调整方式：</w:t>
      </w:r>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hint="eastAsia" w:ascii="宋体" w:hAnsi="宋体"/>
          <w:sz w:val="24"/>
        </w:rPr>
        <w:t>。</w:t>
      </w:r>
    </w:p>
    <w:p w14:paraId="2395C8B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86" w:name="_Toc292559410"/>
      <w:bookmarkEnd w:id="386"/>
      <w:bookmarkStart w:id="387" w:name="_Toc303539159"/>
      <w:bookmarkEnd w:id="387"/>
      <w:bookmarkStart w:id="388" w:name="_Toc296503205"/>
      <w:bookmarkEnd w:id="388"/>
      <w:bookmarkStart w:id="389" w:name="_Toc297216211"/>
      <w:bookmarkEnd w:id="389"/>
      <w:bookmarkStart w:id="390" w:name="_Toc296346706"/>
      <w:bookmarkEnd w:id="390"/>
      <w:bookmarkStart w:id="391" w:name="_Toc304295579"/>
      <w:bookmarkEnd w:id="391"/>
      <w:bookmarkStart w:id="392" w:name="_Toc296944544"/>
      <w:bookmarkEnd w:id="392"/>
      <w:bookmarkStart w:id="393" w:name="_Toc296891033"/>
      <w:bookmarkEnd w:id="393"/>
      <w:bookmarkStart w:id="394" w:name="_Toc297048391"/>
      <w:bookmarkEnd w:id="394"/>
      <w:bookmarkStart w:id="395" w:name="_Toc300935002"/>
      <w:bookmarkEnd w:id="395"/>
      <w:bookmarkStart w:id="396" w:name="_Toc296891245"/>
      <w:bookmarkEnd w:id="396"/>
      <w:bookmarkStart w:id="397" w:name="_Toc351203644"/>
      <w:bookmarkEnd w:id="397"/>
      <w:bookmarkStart w:id="398" w:name="_Toc297123552"/>
      <w:bookmarkEnd w:id="398"/>
      <w:bookmarkStart w:id="399" w:name="_Toc312678040"/>
      <w:bookmarkEnd w:id="399"/>
      <w:bookmarkStart w:id="400" w:name="_Toc297120505"/>
      <w:bookmarkEnd w:id="400"/>
      <w:bookmarkStart w:id="401" w:name="_Toc292559915"/>
      <w:bookmarkEnd w:id="401"/>
      <w:bookmarkStart w:id="402" w:name="_Toc296347204"/>
      <w:r>
        <w:rPr>
          <w:rFonts w:hint="eastAsia" w:ascii="宋体" w:hAnsi="宋体"/>
          <w:sz w:val="24"/>
        </w:rPr>
        <w:t xml:space="preserve">12. </w:t>
      </w:r>
      <w:bookmarkEnd w:id="402"/>
      <w:r>
        <w:rPr>
          <w:rFonts w:hint="eastAsia" w:ascii="宋体" w:hAnsi="宋体"/>
          <w:sz w:val="24"/>
        </w:rPr>
        <w:t>合同价格、计量与支付</w:t>
      </w:r>
    </w:p>
    <w:p w14:paraId="234D70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03" w:name="_Toc296347205"/>
      <w:bookmarkEnd w:id="403"/>
      <w:bookmarkStart w:id="404" w:name="_Toc296891034"/>
      <w:bookmarkEnd w:id="404"/>
      <w:bookmarkStart w:id="405" w:name="_Toc296503206"/>
      <w:bookmarkEnd w:id="405"/>
      <w:bookmarkStart w:id="406" w:name="_Toc304295580"/>
      <w:bookmarkEnd w:id="406"/>
      <w:bookmarkStart w:id="407" w:name="_Toc292559411"/>
      <w:bookmarkEnd w:id="407"/>
      <w:bookmarkStart w:id="408" w:name="_Toc297216212"/>
      <w:bookmarkEnd w:id="408"/>
      <w:bookmarkStart w:id="409" w:name="_Toc297048392"/>
      <w:bookmarkEnd w:id="409"/>
      <w:bookmarkStart w:id="410" w:name="_Toc303539160"/>
      <w:bookmarkEnd w:id="410"/>
      <w:bookmarkStart w:id="411" w:name="_Toc312678041"/>
      <w:bookmarkEnd w:id="411"/>
      <w:bookmarkStart w:id="412" w:name="_Toc292559916"/>
      <w:bookmarkEnd w:id="412"/>
      <w:bookmarkStart w:id="413" w:name="_Toc297123553"/>
      <w:bookmarkEnd w:id="413"/>
      <w:bookmarkStart w:id="414" w:name="_Toc297120506"/>
      <w:bookmarkEnd w:id="414"/>
      <w:bookmarkStart w:id="415" w:name="_Toc296944545"/>
      <w:bookmarkEnd w:id="415"/>
      <w:bookmarkStart w:id="416" w:name="_Toc296346707"/>
      <w:bookmarkEnd w:id="416"/>
      <w:bookmarkStart w:id="417" w:name="_Toc296891246"/>
      <w:bookmarkEnd w:id="417"/>
      <w:bookmarkStart w:id="418" w:name="_Toc300935003"/>
      <w:bookmarkEnd w:id="418"/>
      <w:bookmarkStart w:id="419" w:name="_Toc267251461"/>
      <w:r>
        <w:rPr>
          <w:rFonts w:hint="eastAsia" w:ascii="宋体" w:hAnsi="宋体"/>
          <w:sz w:val="24"/>
        </w:rPr>
        <w:t>12.1 合</w:t>
      </w:r>
      <w:bookmarkEnd w:id="419"/>
      <w:r>
        <w:rPr>
          <w:rFonts w:hint="eastAsia" w:ascii="宋体" w:hAnsi="宋体"/>
          <w:sz w:val="24"/>
        </w:rPr>
        <w:t>同价格形式</w:t>
      </w:r>
    </w:p>
    <w:p w14:paraId="7A8D9C5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本合同价款采用第</w:t>
      </w:r>
      <w:r>
        <w:rPr>
          <w:rFonts w:hint="eastAsia" w:ascii="宋体" w:hAnsi="宋体"/>
          <w:sz w:val="24"/>
          <w:u w:val="single"/>
        </w:rPr>
        <w:t xml:space="preserve"> 1 </w:t>
      </w:r>
      <w:r>
        <w:rPr>
          <w:rFonts w:hint="eastAsia" w:ascii="宋体" w:hAnsi="宋体"/>
          <w:sz w:val="24"/>
        </w:rPr>
        <w:t>种方式确定。</w:t>
      </w:r>
    </w:p>
    <w:p w14:paraId="0712F70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w:t>
      </w:r>
    </w:p>
    <w:p w14:paraId="43E6F5F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综合单价包含的风险范围：</w:t>
      </w:r>
      <w:r>
        <w:rPr>
          <w:rFonts w:hint="eastAsia" w:ascii="宋体" w:hAnsi="宋体"/>
          <w:sz w:val="24"/>
          <w:u w:val="single"/>
        </w:rPr>
        <w:t xml:space="preserve"> 人工工资、材料费、施工机械使用费、管理费、利润等变化及风险因素。 </w:t>
      </w:r>
    </w:p>
    <w:p w14:paraId="32379DD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6896F51C">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rPr>
      </w:pPr>
      <w:r>
        <w:rPr>
          <w:rFonts w:hint="eastAsia" w:ascii="宋体" w:hAnsi="宋体"/>
          <w:sz w:val="24"/>
        </w:rPr>
        <w:t>风险范围以外合同价格的调整方法：</w:t>
      </w:r>
    </w:p>
    <w:p w14:paraId="66E76B85">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u w:val="single"/>
        </w:rPr>
      </w:pPr>
      <w:r>
        <w:rPr>
          <w:rFonts w:hint="eastAsia" w:ascii="宋体" w:hAnsi="宋体"/>
          <w:sz w:val="24"/>
          <w:u w:val="single"/>
        </w:rPr>
        <w:t>1）凡综合单价中涉及发包人在招标文件及答疑纪要中规定的指定价项目，结算时按发包人确认的单价与上述指定价的差额，置于综合单价的风险范围外位置。</w:t>
      </w:r>
    </w:p>
    <w:p w14:paraId="133431D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宋体" w:hAnsi="宋体"/>
          <w:kern w:val="2"/>
          <w:sz w:val="24"/>
          <w:u w:val="single"/>
        </w:rPr>
        <w:t>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w:t>
      </w:r>
      <w:r>
        <w:rPr>
          <w:rFonts w:hint="eastAsia" w:ascii="宋体" w:hAnsi="宋体"/>
          <w:sz w:val="24"/>
          <w:u w:val="single"/>
        </w:rPr>
        <w:t xml:space="preserve">执行，措施费用不作调整 </w:t>
      </w:r>
      <w:r>
        <w:rPr>
          <w:rFonts w:hint="eastAsia" w:ascii="宋体" w:hAnsi="宋体"/>
          <w:sz w:val="24"/>
        </w:rPr>
        <w:t>。</w:t>
      </w:r>
    </w:p>
    <w:p w14:paraId="2188E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w:t>
      </w:r>
    </w:p>
    <w:p w14:paraId="5B952B2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总价包含的风险范围：</w:t>
      </w:r>
      <w:r>
        <w:rPr>
          <w:rFonts w:hint="eastAsia" w:ascii="宋体" w:hAnsi="宋体"/>
          <w:sz w:val="24"/>
          <w:u w:val="single"/>
        </w:rPr>
        <w:t xml:space="preserve">                    /                 </w:t>
      </w:r>
      <w:r>
        <w:rPr>
          <w:rFonts w:hint="eastAsia" w:ascii="宋体" w:hAnsi="宋体"/>
          <w:sz w:val="24"/>
        </w:rPr>
        <w:t>。</w:t>
      </w:r>
    </w:p>
    <w:p w14:paraId="2393A73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0C2BC4E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风险范围以外合同价格的调整方法：</w:t>
      </w:r>
      <w:r>
        <w:rPr>
          <w:rFonts w:hint="eastAsia" w:ascii="宋体" w:hAnsi="宋体"/>
          <w:sz w:val="24"/>
          <w:u w:val="single"/>
        </w:rPr>
        <w:t xml:space="preserve">          /               </w:t>
      </w:r>
      <w:r>
        <w:rPr>
          <w:rFonts w:hint="eastAsia" w:ascii="宋体" w:hAnsi="宋体"/>
          <w:sz w:val="24"/>
        </w:rPr>
        <w:t>。</w:t>
      </w:r>
    </w:p>
    <w:p w14:paraId="1EEC871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3、其他价格方式：</w:t>
      </w:r>
      <w:r>
        <w:rPr>
          <w:rFonts w:hint="eastAsia" w:ascii="宋体" w:hAnsi="宋体"/>
          <w:sz w:val="24"/>
          <w:u w:val="single"/>
        </w:rPr>
        <w:t xml:space="preserve">                        /                 </w:t>
      </w:r>
      <w:r>
        <w:rPr>
          <w:rFonts w:hint="eastAsia" w:ascii="宋体" w:hAnsi="宋体"/>
          <w:sz w:val="24"/>
        </w:rPr>
        <w:t>。</w:t>
      </w:r>
    </w:p>
    <w:p w14:paraId="442ABD13">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bookmarkStart w:id="420" w:name="_Toc312678042"/>
      <w:bookmarkEnd w:id="420"/>
      <w:bookmarkStart w:id="421" w:name="_Toc297120507"/>
      <w:bookmarkEnd w:id="421"/>
      <w:bookmarkStart w:id="422" w:name="_Toc297048393"/>
      <w:bookmarkEnd w:id="422"/>
      <w:bookmarkStart w:id="423" w:name="_Toc297123554"/>
      <w:bookmarkEnd w:id="423"/>
      <w:bookmarkStart w:id="424" w:name="_Toc296346708"/>
      <w:bookmarkEnd w:id="424"/>
      <w:bookmarkStart w:id="425" w:name="_Toc292559917"/>
      <w:bookmarkEnd w:id="425"/>
      <w:bookmarkStart w:id="426" w:name="_Toc303539161"/>
      <w:bookmarkEnd w:id="426"/>
      <w:bookmarkStart w:id="427" w:name="_Toc292559412"/>
      <w:bookmarkEnd w:id="427"/>
      <w:bookmarkStart w:id="428" w:name="_Toc296891247"/>
      <w:bookmarkEnd w:id="428"/>
      <w:bookmarkStart w:id="429" w:name="_Toc296503207"/>
      <w:bookmarkEnd w:id="429"/>
      <w:bookmarkStart w:id="430" w:name="_Toc296944546"/>
      <w:bookmarkEnd w:id="430"/>
      <w:bookmarkStart w:id="431" w:name="_Toc297216213"/>
      <w:bookmarkEnd w:id="431"/>
      <w:bookmarkStart w:id="432" w:name="_Toc296347206"/>
      <w:bookmarkEnd w:id="432"/>
      <w:bookmarkStart w:id="433" w:name="_Toc300935004"/>
      <w:bookmarkEnd w:id="433"/>
      <w:bookmarkStart w:id="434" w:name="_Toc296891035"/>
      <w:bookmarkEnd w:id="434"/>
      <w:bookmarkStart w:id="435" w:name="_Toc304295581"/>
      <w:r>
        <w:rPr>
          <w:rFonts w:hint="eastAsia" w:ascii="宋体" w:hAnsi="宋体"/>
          <w:sz w:val="24"/>
        </w:rPr>
        <w:t>12.2 预付款</w:t>
      </w:r>
      <w:bookmarkEnd w:id="435"/>
    </w:p>
    <w:p w14:paraId="4372860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12.2.1 预付款的支付</w:t>
      </w:r>
    </w:p>
    <w:p w14:paraId="456B065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预付款支付比例或金额：</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D04C92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159310A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预付款扣回的方式：</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382B61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12.2.2 预付款担保</w:t>
      </w:r>
    </w:p>
    <w:p w14:paraId="3F39EE5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承包人提交预付款担保的期限：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7BF87D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预付款担保的形式为：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A2AA0C5">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12.3 计量</w:t>
      </w:r>
    </w:p>
    <w:p w14:paraId="604D915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12.3.1 计量原则</w:t>
      </w:r>
    </w:p>
    <w:p w14:paraId="7C72204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工程量计算规则：</w:t>
      </w:r>
      <w:r>
        <w:rPr>
          <w:rFonts w:hint="eastAsia" w:ascii="宋体" w:hAnsi="宋体"/>
          <w:sz w:val="24"/>
          <w:u w:val="single"/>
        </w:rPr>
        <w:t xml:space="preserve">  </w:t>
      </w:r>
      <w:r>
        <w:rPr>
          <w:rFonts w:hint="eastAsia" w:ascii="宋体" w:hAnsi="宋体"/>
          <w:kern w:val="2"/>
          <w:sz w:val="24"/>
          <w:u w:val="single"/>
        </w:rPr>
        <w:t xml:space="preserve"> 陕西省建设工程工程量清单计价规则（2009）</w:t>
      </w:r>
      <w:r>
        <w:rPr>
          <w:rFonts w:hint="eastAsia" w:ascii="宋体" w:hAnsi="宋体"/>
          <w:sz w:val="24"/>
          <w:u w:val="single"/>
        </w:rPr>
        <w:t xml:space="preserve">  </w:t>
      </w:r>
      <w:r>
        <w:rPr>
          <w:rFonts w:hint="eastAsia" w:ascii="宋体" w:hAnsi="宋体"/>
          <w:sz w:val="24"/>
        </w:rPr>
        <w:t>。</w:t>
      </w:r>
    </w:p>
    <w:p w14:paraId="53F934B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12.3.2 计量周期</w:t>
      </w:r>
    </w:p>
    <w:p w14:paraId="332BF3D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关于计量周期的约定：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3B6EBC0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12.3.3 单价合同的计量</w:t>
      </w:r>
    </w:p>
    <w:p w14:paraId="02D2580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关于单价合同计量的约定：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50328FB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12.3.4 总价合同的计量</w:t>
      </w:r>
    </w:p>
    <w:p w14:paraId="6B86AA2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关于总价合同计量的约定：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6DCCBE3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12.3.5总价合同采用支付分解表计量支付的，是否适用第12.3.4 项〔总价合同的计量〕约定进行计量：</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2A79AB3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12.3.6 其他价格形式合同的计量</w:t>
      </w:r>
    </w:p>
    <w:p w14:paraId="5CD1B8A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其他价格形式的计量方式和程序：</w:t>
      </w:r>
      <w:r>
        <w:rPr>
          <w:rFonts w:hint="eastAsia" w:ascii="宋体" w:hAnsi="宋体"/>
          <w:sz w:val="24"/>
          <w:u w:val="single"/>
        </w:rPr>
        <w:t xml:space="preserve">           /         </w:t>
      </w:r>
      <w:r>
        <w:rPr>
          <w:rFonts w:hint="eastAsia" w:ascii="宋体" w:hAnsi="宋体"/>
          <w:sz w:val="24"/>
        </w:rPr>
        <w:t>。</w:t>
      </w:r>
    </w:p>
    <w:p w14:paraId="24051B4D">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12.4 工程进度款支付</w:t>
      </w:r>
    </w:p>
    <w:p w14:paraId="6F623AF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highlight w:val="none"/>
        </w:rPr>
      </w:pPr>
      <w:bookmarkStart w:id="436" w:name="_Toc296347210"/>
      <w:bookmarkEnd w:id="436"/>
      <w:bookmarkStart w:id="437" w:name="_Toc296944550"/>
      <w:bookmarkEnd w:id="437"/>
      <w:bookmarkStart w:id="438" w:name="_Toc296891251"/>
      <w:bookmarkEnd w:id="438"/>
      <w:bookmarkStart w:id="439" w:name="_Toc303539163"/>
      <w:bookmarkEnd w:id="439"/>
      <w:bookmarkStart w:id="440" w:name="_Toc297216215"/>
      <w:bookmarkEnd w:id="440"/>
      <w:bookmarkStart w:id="441" w:name="_Toc297048397"/>
      <w:bookmarkEnd w:id="441"/>
      <w:bookmarkStart w:id="442" w:name="_Toc297120511"/>
      <w:bookmarkEnd w:id="442"/>
      <w:bookmarkStart w:id="443" w:name="_Toc292559416"/>
      <w:bookmarkEnd w:id="443"/>
      <w:bookmarkStart w:id="444" w:name="_Toc300935006"/>
      <w:bookmarkEnd w:id="444"/>
      <w:bookmarkStart w:id="445" w:name="_Toc296891039"/>
      <w:bookmarkEnd w:id="445"/>
      <w:bookmarkStart w:id="446" w:name="_Toc297123556"/>
      <w:bookmarkEnd w:id="446"/>
      <w:bookmarkStart w:id="447" w:name="_Toc296346712"/>
      <w:bookmarkEnd w:id="447"/>
      <w:bookmarkStart w:id="448" w:name="_Toc296503211"/>
      <w:bookmarkEnd w:id="448"/>
      <w:bookmarkStart w:id="449" w:name="_Toc292559921"/>
      <w:r>
        <w:rPr>
          <w:rFonts w:hint="eastAsia" w:ascii="宋体" w:hAnsi="宋体"/>
          <w:sz w:val="24"/>
          <w:highlight w:val="none"/>
        </w:rPr>
        <w:t>12.4.1 付款周期</w:t>
      </w:r>
      <w:bookmarkEnd w:id="449"/>
    </w:p>
    <w:p w14:paraId="3E5689C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u w:val="single"/>
          <w:lang w:val="en-US" w:eastAsia="zh-CN"/>
        </w:rPr>
      </w:pPr>
      <w:r>
        <w:rPr>
          <w:rFonts w:hint="eastAsia" w:ascii="宋体" w:hAnsi="宋体"/>
          <w:sz w:val="24"/>
          <w:highlight w:val="none"/>
        </w:rPr>
        <w:t>关于付款周期的约定</w:t>
      </w:r>
      <w:r>
        <w:rPr>
          <w:rFonts w:hint="eastAsia" w:ascii="宋体" w:hAnsi="宋体"/>
          <w:sz w:val="24"/>
          <w:highlight w:val="none"/>
          <w:u w:val="none"/>
        </w:rPr>
        <w:t>：</w:t>
      </w:r>
      <w:r>
        <w:rPr>
          <w:rFonts w:hint="eastAsia" w:ascii="宋体" w:hAnsi="宋体"/>
          <w:sz w:val="24"/>
          <w:u w:val="single"/>
        </w:rPr>
        <w:t xml:space="preserve">                      </w:t>
      </w:r>
      <w:r>
        <w:rPr>
          <w:rFonts w:hint="eastAsia" w:ascii="宋体" w:hAnsi="宋体"/>
          <w:sz w:val="24"/>
        </w:rPr>
        <w:t>。</w:t>
      </w:r>
    </w:p>
    <w:p w14:paraId="52833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12.4.2 进度付款申请单的编制</w:t>
      </w:r>
    </w:p>
    <w:p w14:paraId="5C1A0F7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关于进度付款申请单编制的约定：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76CC8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12.4.3 进度付款申请单的提交</w:t>
      </w:r>
    </w:p>
    <w:p w14:paraId="2FFE725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（1）单价合同进度付款申请单提交的约定：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37CB273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（2）总价合同进度付款申请单提交的约定：</w:t>
      </w:r>
      <w:r>
        <w:rPr>
          <w:rFonts w:hint="eastAsia" w:ascii="宋体" w:hAnsi="宋体"/>
          <w:sz w:val="24"/>
          <w:u w:val="single"/>
        </w:rPr>
        <w:t xml:space="preserve">       /      </w:t>
      </w:r>
      <w:r>
        <w:rPr>
          <w:rFonts w:hint="eastAsia" w:ascii="宋体" w:hAnsi="宋体"/>
          <w:sz w:val="24"/>
        </w:rPr>
        <w:t>。</w:t>
      </w:r>
    </w:p>
    <w:p w14:paraId="008A31A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（3）其他价格形式合同进度付款申请单提交的约定：</w:t>
      </w:r>
      <w:r>
        <w:rPr>
          <w:rFonts w:hint="eastAsia" w:ascii="宋体" w:hAnsi="宋体"/>
          <w:sz w:val="24"/>
          <w:u w:val="single"/>
        </w:rPr>
        <w:t xml:space="preserve">    /      </w:t>
      </w:r>
      <w:r>
        <w:rPr>
          <w:rFonts w:hint="eastAsia" w:ascii="宋体" w:hAnsi="宋体"/>
          <w:sz w:val="24"/>
        </w:rPr>
        <w:t>。</w:t>
      </w:r>
    </w:p>
    <w:p w14:paraId="1FA4F0C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12.4.4 进度款审核和支付</w:t>
      </w:r>
    </w:p>
    <w:p w14:paraId="20C3B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（1）监理人审查并报送发包人的期限：</w:t>
      </w:r>
      <w:r>
        <w:rPr>
          <w:rFonts w:hint="eastAsia" w:ascii="宋体" w:hAnsi="宋体"/>
          <w:sz w:val="24"/>
          <w:u w:val="single"/>
        </w:rPr>
        <w:t xml:space="preserve">      </w:t>
      </w:r>
      <w:r>
        <w:rPr>
          <w:rFonts w:hint="eastAsia" w:ascii="宋体" w:hAnsi="宋体"/>
          <w:kern w:val="2"/>
          <w:sz w:val="24"/>
          <w:u w:val="single"/>
        </w:rPr>
        <w:t xml:space="preserve"> 收到申请7天内</w:t>
      </w:r>
      <w:r>
        <w:rPr>
          <w:rFonts w:hint="eastAsia" w:ascii="宋体" w:hAnsi="宋体"/>
          <w:sz w:val="24"/>
          <w:u w:val="single"/>
        </w:rPr>
        <w:t xml:space="preserve">    </w:t>
      </w:r>
      <w:r>
        <w:rPr>
          <w:rFonts w:hint="eastAsia" w:ascii="宋体" w:hAnsi="宋体"/>
          <w:sz w:val="24"/>
        </w:rPr>
        <w:t>。</w:t>
      </w:r>
    </w:p>
    <w:p w14:paraId="2961669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发包人完成审批并签发进度款支付证书的期限：</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52B8D8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（2）发包人支付进度款的期限：</w:t>
      </w:r>
      <w:r>
        <w:rPr>
          <w:rFonts w:hint="eastAsia" w:ascii="宋体" w:hAnsi="宋体"/>
          <w:sz w:val="24"/>
          <w:u w:val="single"/>
        </w:rPr>
        <w:t xml:space="preserve">              /         </w:t>
      </w:r>
      <w:r>
        <w:rPr>
          <w:rFonts w:hint="eastAsia" w:ascii="宋体" w:hAnsi="宋体"/>
          <w:sz w:val="24"/>
        </w:rPr>
        <w:t>。</w:t>
      </w:r>
    </w:p>
    <w:p w14:paraId="1370AB1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发包人逾期支付进度款的违约金的计算方式：</w:t>
      </w:r>
      <w:r>
        <w:rPr>
          <w:rFonts w:hint="eastAsia" w:ascii="宋体" w:hAnsi="宋体"/>
          <w:sz w:val="24"/>
          <w:u w:val="single"/>
        </w:rPr>
        <w:t xml:space="preserve">         /      </w:t>
      </w:r>
      <w:r>
        <w:rPr>
          <w:rFonts w:hint="eastAsia" w:ascii="宋体" w:hAnsi="宋体"/>
          <w:sz w:val="24"/>
        </w:rPr>
        <w:t>。</w:t>
      </w:r>
    </w:p>
    <w:p w14:paraId="7778D7B5">
      <w:pPr>
        <w:keepNext w:val="0"/>
        <w:keepLines w:val="0"/>
        <w:pageBreakBefore w:val="0"/>
        <w:kinsoku/>
        <w:wordWrap/>
        <w:overflowPunct/>
        <w:topLinePunct w:val="0"/>
        <w:bidi w:val="0"/>
        <w:spacing w:line="400" w:lineRule="exact"/>
        <w:ind w:firstLine="600" w:firstLineChars="250"/>
        <w:jc w:val="left"/>
        <w:textAlignment w:val="auto"/>
        <w:outlineLvl w:val="9"/>
        <w:rPr>
          <w:rFonts w:hint="eastAsia" w:ascii="宋体" w:hAnsi="宋体"/>
          <w:sz w:val="24"/>
        </w:rPr>
      </w:pPr>
      <w:r>
        <w:rPr>
          <w:rFonts w:hint="eastAsia" w:ascii="宋体" w:hAnsi="宋体"/>
          <w:sz w:val="24"/>
        </w:rPr>
        <w:t>12.4.</w:t>
      </w:r>
      <w:r>
        <w:rPr>
          <w:rFonts w:hint="eastAsia" w:ascii="宋体" w:hAnsi="宋体"/>
          <w:sz w:val="24"/>
          <w:lang w:val="en-US" w:eastAsia="zh-CN"/>
        </w:rPr>
        <w:t>6</w:t>
      </w:r>
      <w:r>
        <w:rPr>
          <w:rFonts w:hint="eastAsia" w:ascii="宋体" w:hAnsi="宋体"/>
          <w:sz w:val="24"/>
        </w:rPr>
        <w:t xml:space="preserve"> 支付分解表的编制</w:t>
      </w:r>
    </w:p>
    <w:p w14:paraId="05DDB3EC">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2、总价合同支付分解表的编制与审批：</w:t>
      </w:r>
      <w:r>
        <w:rPr>
          <w:rFonts w:hint="eastAsia" w:ascii="宋体" w:hAnsi="宋体"/>
          <w:sz w:val="24"/>
          <w:u w:val="single"/>
        </w:rPr>
        <w:t xml:space="preserve">         /        </w:t>
      </w:r>
      <w:r>
        <w:rPr>
          <w:rFonts w:hint="eastAsia" w:ascii="宋体" w:hAnsi="宋体"/>
          <w:sz w:val="24"/>
        </w:rPr>
        <w:t>。</w:t>
      </w:r>
    </w:p>
    <w:p w14:paraId="1DE975A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3、单价合同的总价项目支付分解表的编制与审批：</w:t>
      </w:r>
      <w:r>
        <w:rPr>
          <w:rFonts w:hint="eastAsia" w:ascii="宋体" w:hAnsi="宋体"/>
          <w:sz w:val="24"/>
          <w:u w:val="single"/>
        </w:rPr>
        <w:t xml:space="preserve">     /      </w:t>
      </w:r>
      <w:r>
        <w:rPr>
          <w:rFonts w:hint="eastAsia" w:ascii="宋体" w:hAnsi="宋体"/>
          <w:sz w:val="24"/>
        </w:rPr>
        <w:t>。</w:t>
      </w:r>
    </w:p>
    <w:p w14:paraId="2DFF84A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50" w:name="_Toc300935015"/>
      <w:bookmarkEnd w:id="450"/>
      <w:bookmarkStart w:id="451" w:name="_Toc296347218"/>
      <w:bookmarkEnd w:id="451"/>
      <w:bookmarkStart w:id="452" w:name="_Toc296891259"/>
      <w:bookmarkEnd w:id="452"/>
      <w:bookmarkStart w:id="453" w:name="_Toc304295593"/>
      <w:bookmarkEnd w:id="453"/>
      <w:bookmarkStart w:id="454" w:name="_Toc296346720"/>
      <w:bookmarkEnd w:id="454"/>
      <w:bookmarkStart w:id="455" w:name="_Toc297120519"/>
      <w:bookmarkEnd w:id="455"/>
      <w:bookmarkStart w:id="456" w:name="_Toc297048405"/>
      <w:bookmarkEnd w:id="456"/>
      <w:bookmarkStart w:id="457" w:name="_Toc303539172"/>
      <w:bookmarkEnd w:id="457"/>
      <w:bookmarkStart w:id="458" w:name="_Toc297216223"/>
      <w:bookmarkEnd w:id="458"/>
      <w:bookmarkStart w:id="459" w:name="_Toc297123564"/>
      <w:bookmarkEnd w:id="459"/>
      <w:bookmarkStart w:id="460" w:name="_Toc296891047"/>
      <w:bookmarkEnd w:id="460"/>
      <w:bookmarkStart w:id="461" w:name="_Toc296944558"/>
      <w:bookmarkEnd w:id="461"/>
      <w:bookmarkStart w:id="462" w:name="_Toc351203645"/>
      <w:bookmarkEnd w:id="462"/>
      <w:bookmarkStart w:id="463" w:name="_Toc292559424"/>
      <w:bookmarkEnd w:id="463"/>
      <w:bookmarkStart w:id="464" w:name="_Toc292559929"/>
      <w:bookmarkEnd w:id="464"/>
      <w:bookmarkStart w:id="465" w:name="_Toc296503219"/>
      <w:bookmarkEnd w:id="465"/>
      <w:bookmarkStart w:id="466" w:name="_Toc312678053"/>
      <w:r>
        <w:rPr>
          <w:rFonts w:hint="eastAsia" w:ascii="宋体" w:hAnsi="宋体"/>
          <w:sz w:val="24"/>
        </w:rPr>
        <w:t>13. 验收和工程试车</w:t>
      </w:r>
      <w:bookmarkEnd w:id="466"/>
    </w:p>
    <w:p w14:paraId="62C4C8E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13.1 分部分项工程验收</w:t>
      </w:r>
    </w:p>
    <w:p w14:paraId="2AF76C1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13.1.</w:t>
      </w:r>
      <w:r>
        <w:rPr>
          <w:rFonts w:hint="eastAsia" w:ascii="宋体" w:hAnsi="宋体"/>
          <w:sz w:val="24"/>
          <w:lang w:val="en-US" w:eastAsia="zh-CN"/>
        </w:rPr>
        <w:t>2</w:t>
      </w:r>
      <w:r>
        <w:rPr>
          <w:rFonts w:hint="eastAsia" w:ascii="宋体" w:hAnsi="宋体"/>
          <w:sz w:val="24"/>
        </w:rPr>
        <w:t>监理人不能按时进行验收时，应提前</w:t>
      </w:r>
      <w:r>
        <w:rPr>
          <w:rFonts w:hint="eastAsia" w:ascii="宋体" w:hAnsi="宋体"/>
          <w:sz w:val="24"/>
          <w:u w:val="single"/>
        </w:rPr>
        <w:t xml:space="preserve">   24   </w:t>
      </w:r>
      <w:r>
        <w:rPr>
          <w:rFonts w:hint="eastAsia" w:ascii="宋体" w:hAnsi="宋体"/>
          <w:sz w:val="24"/>
        </w:rPr>
        <w:t>小时提交书面延期要求。</w:t>
      </w:r>
    </w:p>
    <w:p w14:paraId="12D8987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b/>
          <w:bCs/>
          <w:sz w:val="24"/>
        </w:rPr>
      </w:pPr>
      <w:r>
        <w:rPr>
          <w:rFonts w:hint="eastAsia" w:ascii="宋体" w:hAnsi="宋体"/>
          <w:sz w:val="24"/>
        </w:rPr>
        <w:t>关于延期最长不得超过：</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48    </w:t>
      </w:r>
      <w:r>
        <w:rPr>
          <w:rFonts w:hint="eastAsia" w:ascii="宋体" w:hAnsi="宋体"/>
          <w:sz w:val="24"/>
        </w:rPr>
        <w:t>小时。</w:t>
      </w:r>
    </w:p>
    <w:p w14:paraId="144F5A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67" w:name="_Toc303539173"/>
      <w:bookmarkEnd w:id="467"/>
      <w:bookmarkStart w:id="468" w:name="_Toc267251475"/>
      <w:bookmarkEnd w:id="468"/>
      <w:bookmarkStart w:id="469" w:name="_Toc297216224"/>
      <w:bookmarkEnd w:id="469"/>
      <w:bookmarkStart w:id="470" w:name="_Toc297120523"/>
      <w:bookmarkEnd w:id="470"/>
      <w:bookmarkStart w:id="471" w:name="_Toc304295596"/>
      <w:bookmarkEnd w:id="471"/>
      <w:bookmarkStart w:id="472" w:name="_Toc296503223"/>
      <w:bookmarkEnd w:id="472"/>
      <w:bookmarkStart w:id="473" w:name="_Toc296891051"/>
      <w:bookmarkEnd w:id="473"/>
      <w:bookmarkStart w:id="474" w:name="_Toc267251474"/>
      <w:bookmarkEnd w:id="474"/>
      <w:bookmarkStart w:id="475" w:name="_Toc296944562"/>
      <w:bookmarkEnd w:id="475"/>
      <w:bookmarkStart w:id="476" w:name="_Toc297123565"/>
      <w:bookmarkEnd w:id="476"/>
      <w:bookmarkStart w:id="477" w:name="_Toc267251470"/>
      <w:bookmarkEnd w:id="477"/>
      <w:bookmarkStart w:id="478" w:name="_Toc296891263"/>
      <w:bookmarkEnd w:id="478"/>
      <w:bookmarkStart w:id="479" w:name="_Toc300935016"/>
      <w:bookmarkEnd w:id="479"/>
      <w:bookmarkStart w:id="480" w:name="_Toc267251471"/>
      <w:bookmarkEnd w:id="480"/>
      <w:bookmarkStart w:id="481" w:name="_Toc296346724"/>
      <w:bookmarkEnd w:id="481"/>
      <w:bookmarkStart w:id="482" w:name="_Toc297048409"/>
      <w:bookmarkEnd w:id="482"/>
      <w:bookmarkStart w:id="483" w:name="_Toc292559428"/>
      <w:bookmarkEnd w:id="483"/>
      <w:bookmarkStart w:id="484" w:name="_Toc292559933"/>
      <w:bookmarkEnd w:id="484"/>
      <w:bookmarkStart w:id="485" w:name="_Toc267251473"/>
      <w:bookmarkEnd w:id="485"/>
      <w:bookmarkStart w:id="486" w:name="_Toc267251472"/>
      <w:bookmarkEnd w:id="486"/>
      <w:bookmarkStart w:id="487" w:name="_Toc312678056"/>
      <w:bookmarkEnd w:id="487"/>
      <w:bookmarkStart w:id="488" w:name="_Toc296347222"/>
      <w:bookmarkEnd w:id="488"/>
      <w:bookmarkStart w:id="489" w:name="_Toc267251476"/>
      <w:r>
        <w:rPr>
          <w:rFonts w:hint="eastAsia" w:ascii="宋体" w:hAnsi="宋体"/>
          <w:sz w:val="24"/>
        </w:rPr>
        <w:t>13.2 竣工验收</w:t>
      </w:r>
      <w:bookmarkEnd w:id="489"/>
    </w:p>
    <w:p w14:paraId="376E2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490" w:name="_Toc280868706"/>
      <w:bookmarkEnd w:id="490"/>
      <w:bookmarkStart w:id="491" w:name="_Toc280868709"/>
      <w:bookmarkEnd w:id="491"/>
      <w:bookmarkStart w:id="492" w:name="_Toc280868705"/>
      <w:bookmarkEnd w:id="492"/>
      <w:bookmarkStart w:id="493" w:name="_Toc280868704"/>
      <w:bookmarkEnd w:id="493"/>
      <w:bookmarkStart w:id="494" w:name="_Toc280868708"/>
      <w:bookmarkEnd w:id="494"/>
      <w:bookmarkStart w:id="495" w:name="_Toc280868707"/>
      <w:bookmarkEnd w:id="495"/>
      <w:r>
        <w:rPr>
          <w:rFonts w:hint="eastAsia" w:ascii="宋体" w:hAnsi="宋体"/>
          <w:sz w:val="24"/>
        </w:rPr>
        <w:t>13.2.</w:t>
      </w:r>
      <w:r>
        <w:rPr>
          <w:rFonts w:hint="eastAsia" w:ascii="宋体" w:hAnsi="宋体"/>
          <w:sz w:val="24"/>
          <w:lang w:val="en-US" w:eastAsia="zh-CN"/>
        </w:rPr>
        <w:t>2</w:t>
      </w:r>
      <w:r>
        <w:rPr>
          <w:rFonts w:hint="eastAsia" w:ascii="宋体" w:hAnsi="宋体"/>
          <w:sz w:val="24"/>
        </w:rPr>
        <w:t>竣工验收程序</w:t>
      </w:r>
    </w:p>
    <w:p w14:paraId="2914AB4F">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关于竣工验收程序的约定：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25ADE25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发包人不按照本项约定组织竣工验收、颁发工程接收证书的违约金的计算方法：</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3F778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13.2.</w:t>
      </w:r>
      <w:r>
        <w:rPr>
          <w:rFonts w:hint="eastAsia" w:ascii="宋体" w:hAnsi="宋体"/>
          <w:sz w:val="24"/>
          <w:lang w:val="en-US" w:eastAsia="zh-CN"/>
        </w:rPr>
        <w:t>5</w:t>
      </w:r>
      <w:r>
        <w:rPr>
          <w:rFonts w:hint="eastAsia" w:ascii="宋体" w:hAnsi="宋体"/>
          <w:sz w:val="24"/>
        </w:rPr>
        <w:t>移交、接收全部与部分工程</w:t>
      </w:r>
    </w:p>
    <w:p w14:paraId="6D1C466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承包人向发包人移交工程的期限：</w:t>
      </w:r>
      <w:r>
        <w:rPr>
          <w:rFonts w:hint="eastAsia" w:ascii="宋体" w:hAnsi="宋体"/>
          <w:sz w:val="24"/>
          <w:u w:val="single"/>
        </w:rPr>
        <w:t xml:space="preserve">        </w:t>
      </w:r>
      <w:r>
        <w:rPr>
          <w:rFonts w:hint="eastAsia" w:ascii="宋体" w:hAnsi="宋体"/>
          <w:kern w:val="2"/>
          <w:sz w:val="24"/>
          <w:u w:val="single"/>
        </w:rPr>
        <w:t>颁发工程接收证书后7天内</w:t>
      </w:r>
      <w:r>
        <w:rPr>
          <w:rFonts w:hint="eastAsia" w:ascii="宋体" w:hAnsi="宋体"/>
          <w:sz w:val="24"/>
          <w:u w:val="single"/>
        </w:rPr>
        <w:t xml:space="preserve">     </w:t>
      </w:r>
      <w:r>
        <w:rPr>
          <w:rFonts w:hint="eastAsia" w:ascii="宋体" w:hAnsi="宋体"/>
          <w:sz w:val="24"/>
        </w:rPr>
        <w:t>。</w:t>
      </w:r>
    </w:p>
    <w:p w14:paraId="5C0F197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发包人未按本合同约定接收全部或部分工程的，违约金的计算方法：</w:t>
      </w:r>
      <w:r>
        <w:rPr>
          <w:rFonts w:hint="eastAsia" w:ascii="宋体" w:hAnsi="宋体"/>
          <w:sz w:val="24"/>
          <w:u w:val="single"/>
        </w:rPr>
        <w:t xml:space="preserve">  </w:t>
      </w:r>
      <w:r>
        <w:rPr>
          <w:rFonts w:hint="eastAsia" w:ascii="宋体" w:hAnsi="宋体"/>
          <w:spacing w:val="-32"/>
          <w:kern w:val="2"/>
          <w:sz w:val="24"/>
          <w:u w:val="single"/>
        </w:rPr>
        <w:t>/</w:t>
      </w:r>
      <w:r>
        <w:rPr>
          <w:rFonts w:hint="eastAsia" w:ascii="宋体" w:hAnsi="宋体"/>
          <w:sz w:val="24"/>
          <w:u w:val="single"/>
        </w:rPr>
        <w:t xml:space="preserve">    </w:t>
      </w:r>
      <w:r>
        <w:rPr>
          <w:rFonts w:hint="eastAsia" w:ascii="宋体" w:hAnsi="宋体"/>
          <w:sz w:val="24"/>
        </w:rPr>
        <w:t>。</w:t>
      </w:r>
    </w:p>
    <w:p w14:paraId="2B51596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承包人未按时移交工程的，违约金的计算方法为：</w:t>
      </w:r>
      <w:r>
        <w:rPr>
          <w:rFonts w:hint="eastAsia" w:ascii="宋体" w:hAnsi="宋体"/>
          <w:sz w:val="24"/>
          <w:u w:val="single"/>
        </w:rPr>
        <w:t xml:space="preserve">          /            </w:t>
      </w:r>
      <w:r>
        <w:rPr>
          <w:rFonts w:hint="eastAsia" w:ascii="宋体" w:hAnsi="宋体"/>
          <w:sz w:val="24"/>
        </w:rPr>
        <w:t>。</w:t>
      </w:r>
    </w:p>
    <w:p w14:paraId="5571B93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13.3 工程试车</w:t>
      </w:r>
    </w:p>
    <w:p w14:paraId="1B60C98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13.3.1 试车程序</w:t>
      </w:r>
    </w:p>
    <w:p w14:paraId="58A8DE7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工程试车内容：</w:t>
      </w:r>
      <w:r>
        <w:rPr>
          <w:rFonts w:hint="eastAsia" w:ascii="宋体" w:hAnsi="宋体"/>
          <w:sz w:val="24"/>
          <w:u w:val="single"/>
        </w:rPr>
        <w:t xml:space="preserve">  若需试车，试车费用由承包人承担   </w:t>
      </w:r>
      <w:r>
        <w:rPr>
          <w:rFonts w:hint="eastAsia" w:ascii="宋体" w:hAnsi="宋体"/>
          <w:sz w:val="24"/>
        </w:rPr>
        <w:t>。</w:t>
      </w:r>
    </w:p>
    <w:p w14:paraId="018CF7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（1）单机无负荷试车费用由</w:t>
      </w:r>
      <w:r>
        <w:rPr>
          <w:rFonts w:hint="eastAsia" w:ascii="宋体" w:hAnsi="宋体"/>
          <w:sz w:val="24"/>
          <w:u w:val="single"/>
        </w:rPr>
        <w:t xml:space="preserve">        /            </w:t>
      </w:r>
      <w:r>
        <w:rPr>
          <w:rFonts w:hint="eastAsia" w:ascii="宋体" w:hAnsi="宋体"/>
          <w:sz w:val="24"/>
        </w:rPr>
        <w:t>承担；</w:t>
      </w:r>
    </w:p>
    <w:p w14:paraId="66127A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（2）无负荷联动试车费用由</w:t>
      </w:r>
      <w:r>
        <w:rPr>
          <w:rFonts w:hint="eastAsia" w:ascii="宋体" w:hAnsi="宋体"/>
          <w:sz w:val="24"/>
          <w:u w:val="single"/>
        </w:rPr>
        <w:t xml:space="preserve">        /            </w:t>
      </w:r>
      <w:r>
        <w:rPr>
          <w:rFonts w:hint="eastAsia" w:ascii="宋体" w:hAnsi="宋体"/>
          <w:sz w:val="24"/>
        </w:rPr>
        <w:t>承担。</w:t>
      </w:r>
    </w:p>
    <w:p w14:paraId="590D40B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w:t>
      </w:r>
      <w:r>
        <w:rPr>
          <w:rFonts w:hint="eastAsia" w:ascii="宋体" w:hAnsi="宋体"/>
          <w:sz w:val="24"/>
          <w:lang w:val="en-US" w:eastAsia="zh-CN"/>
        </w:rPr>
        <w:t>3</w:t>
      </w:r>
      <w:r>
        <w:rPr>
          <w:rFonts w:hint="eastAsia" w:ascii="宋体" w:hAnsi="宋体"/>
          <w:sz w:val="24"/>
        </w:rPr>
        <w:t xml:space="preserve"> 投料试车</w:t>
      </w:r>
    </w:p>
    <w:p w14:paraId="10F2F31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关于投料试车相关事项的约定：</w:t>
      </w:r>
      <w:r>
        <w:rPr>
          <w:rFonts w:hint="eastAsia" w:ascii="宋体" w:hAnsi="宋体"/>
          <w:sz w:val="24"/>
          <w:u w:val="single"/>
        </w:rPr>
        <w:t xml:space="preserve">             /            </w:t>
      </w:r>
      <w:r>
        <w:rPr>
          <w:rFonts w:hint="eastAsia" w:ascii="宋体" w:hAnsi="宋体"/>
          <w:sz w:val="24"/>
        </w:rPr>
        <w:t>。</w:t>
      </w:r>
    </w:p>
    <w:p w14:paraId="3DD3B82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 xml:space="preserve"> 竣工退场</w:t>
      </w:r>
    </w:p>
    <w:p w14:paraId="2E5CA7A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.1 竣工退场</w:t>
      </w:r>
    </w:p>
    <w:p w14:paraId="1B70199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承包人完成竣工退场的期限：</w:t>
      </w:r>
      <w:r>
        <w:rPr>
          <w:rFonts w:hint="eastAsia" w:ascii="宋体" w:hAnsi="宋体"/>
          <w:sz w:val="24"/>
          <w:u w:val="single"/>
        </w:rPr>
        <w:t xml:space="preserve">      </w:t>
      </w:r>
      <w:r>
        <w:rPr>
          <w:rFonts w:hint="eastAsia" w:ascii="宋体" w:hAnsi="宋体"/>
          <w:kern w:val="2"/>
          <w:sz w:val="24"/>
          <w:u w:val="single"/>
        </w:rPr>
        <w:t>颁发工程接收证书后3天内</w:t>
      </w:r>
      <w:r>
        <w:rPr>
          <w:rFonts w:hint="eastAsia" w:ascii="宋体" w:hAnsi="宋体"/>
          <w:sz w:val="24"/>
          <w:u w:val="single"/>
        </w:rPr>
        <w:t xml:space="preserve">     </w:t>
      </w:r>
      <w:r>
        <w:rPr>
          <w:rFonts w:hint="eastAsia" w:ascii="宋体" w:hAnsi="宋体"/>
          <w:sz w:val="24"/>
        </w:rPr>
        <w:t>。</w:t>
      </w:r>
    </w:p>
    <w:p w14:paraId="031A82B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6" w:name="_Toc351203646"/>
      <w:bookmarkEnd w:id="496"/>
      <w:r>
        <w:rPr>
          <w:rFonts w:hint="eastAsia" w:ascii="宋体" w:hAnsi="宋体"/>
          <w:sz w:val="24"/>
        </w:rPr>
        <w:t>14. 竣工结算</w:t>
      </w:r>
    </w:p>
    <w:p w14:paraId="09544A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14.1 竣工结算申请</w:t>
      </w:r>
    </w:p>
    <w:p w14:paraId="3EA92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承包人提交竣工结算申请单的期限：</w:t>
      </w:r>
      <w:r>
        <w:rPr>
          <w:rFonts w:hint="eastAsia" w:ascii="宋体" w:hAnsi="宋体"/>
          <w:sz w:val="24"/>
          <w:u w:val="single"/>
        </w:rPr>
        <w:t xml:space="preserve">  </w:t>
      </w:r>
      <w:r>
        <w:rPr>
          <w:rFonts w:hint="eastAsia" w:ascii="宋体" w:hAnsi="宋体"/>
          <w:kern w:val="2"/>
          <w:sz w:val="24"/>
          <w:u w:val="single"/>
        </w:rPr>
        <w:t xml:space="preserve">工程竣工验收合格后28天内 </w:t>
      </w:r>
      <w:r>
        <w:rPr>
          <w:rFonts w:hint="eastAsia" w:ascii="宋体" w:hAnsi="宋体"/>
          <w:sz w:val="24"/>
          <w:u w:val="single"/>
        </w:rPr>
        <w:t xml:space="preserve">   </w:t>
      </w:r>
      <w:r>
        <w:rPr>
          <w:rFonts w:hint="eastAsia" w:ascii="宋体" w:hAnsi="宋体"/>
          <w:sz w:val="24"/>
        </w:rPr>
        <w:t>。</w:t>
      </w:r>
    </w:p>
    <w:p w14:paraId="69B78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竣工结算申请单应包括的内容：</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1CE6E28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14.2 竣工结算审核</w:t>
      </w:r>
    </w:p>
    <w:p w14:paraId="58571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发包人审批竣工付款申请单的期限：</w:t>
      </w:r>
      <w:r>
        <w:rPr>
          <w:rFonts w:hint="eastAsia" w:ascii="宋体" w:hAnsi="宋体"/>
          <w:sz w:val="24"/>
          <w:u w:val="single"/>
        </w:rPr>
        <w:t xml:space="preserve">    </w:t>
      </w:r>
      <w:r>
        <w:rPr>
          <w:rFonts w:hint="eastAsia" w:ascii="宋体" w:hAnsi="宋体"/>
          <w:kern w:val="2"/>
          <w:sz w:val="24"/>
          <w:u w:val="single"/>
        </w:rPr>
        <w:t xml:space="preserve">收到竣工付款申请单28天内 </w:t>
      </w:r>
      <w:r>
        <w:rPr>
          <w:rFonts w:hint="eastAsia" w:ascii="宋体" w:hAnsi="宋体"/>
          <w:sz w:val="24"/>
          <w:u w:val="single"/>
        </w:rPr>
        <w:t xml:space="preserve">    </w:t>
      </w:r>
      <w:r>
        <w:rPr>
          <w:rFonts w:hint="eastAsia" w:ascii="宋体" w:hAnsi="宋体"/>
          <w:sz w:val="24"/>
        </w:rPr>
        <w:t>。</w:t>
      </w:r>
    </w:p>
    <w:p w14:paraId="37D6F1C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发包人完成竣工付款的期限：</w:t>
      </w:r>
      <w:r>
        <w:rPr>
          <w:rFonts w:hint="eastAsia" w:ascii="宋体" w:hAnsi="宋体"/>
          <w:sz w:val="24"/>
          <w:u w:val="single"/>
        </w:rPr>
        <w:t xml:space="preserve">      </w:t>
      </w:r>
      <w:r>
        <w:rPr>
          <w:rFonts w:hint="eastAsia" w:ascii="宋体" w:hAnsi="宋体"/>
          <w:kern w:val="2"/>
          <w:sz w:val="24"/>
          <w:u w:val="single"/>
        </w:rPr>
        <w:t xml:space="preserve">签发竣工付款申请单28天内    </w:t>
      </w:r>
      <w:r>
        <w:rPr>
          <w:rFonts w:hint="eastAsia" w:ascii="宋体" w:hAnsi="宋体"/>
          <w:sz w:val="24"/>
          <w:u w:val="single"/>
        </w:rPr>
        <w:t xml:space="preserve">     </w:t>
      </w:r>
      <w:r>
        <w:rPr>
          <w:rFonts w:hint="eastAsia" w:ascii="宋体" w:hAnsi="宋体"/>
          <w:sz w:val="24"/>
        </w:rPr>
        <w:t>。</w:t>
      </w:r>
    </w:p>
    <w:p w14:paraId="6EE7D47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关于竣工付款证书异议部分复核的方式和程序：</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sz w:val="24"/>
          <w:u w:val="single"/>
        </w:rPr>
        <w:t xml:space="preserve">     </w:t>
      </w:r>
      <w:r>
        <w:rPr>
          <w:rFonts w:hint="eastAsia" w:ascii="宋体" w:hAnsi="宋体"/>
          <w:sz w:val="24"/>
        </w:rPr>
        <w:t>。</w:t>
      </w:r>
    </w:p>
    <w:p w14:paraId="06CDE8F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 xml:space="preserve"> 最终结清</w:t>
      </w:r>
    </w:p>
    <w:p w14:paraId="72EC41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.1 最终结清申请单</w:t>
      </w:r>
    </w:p>
    <w:p w14:paraId="627F7D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承包人提交最终结清申请单的份数：</w:t>
      </w:r>
      <w:r>
        <w:rPr>
          <w:rFonts w:hint="eastAsia" w:ascii="宋体" w:hAnsi="宋体"/>
          <w:sz w:val="24"/>
          <w:u w:val="single"/>
        </w:rPr>
        <w:t xml:space="preserve">               </w:t>
      </w:r>
      <w:r>
        <w:rPr>
          <w:rFonts w:hint="eastAsia" w:ascii="宋体" w:hAnsi="宋体"/>
          <w:kern w:val="2"/>
          <w:sz w:val="24"/>
          <w:u w:val="single"/>
        </w:rPr>
        <w:t>四份</w:t>
      </w:r>
      <w:r>
        <w:rPr>
          <w:rFonts w:hint="eastAsia" w:ascii="宋体" w:hAnsi="宋体"/>
          <w:sz w:val="24"/>
          <w:u w:val="single"/>
        </w:rPr>
        <w:t xml:space="preserve">               </w:t>
      </w:r>
      <w:r>
        <w:rPr>
          <w:rFonts w:hint="eastAsia" w:ascii="宋体" w:hAnsi="宋体"/>
          <w:sz w:val="24"/>
        </w:rPr>
        <w:t>。</w:t>
      </w:r>
    </w:p>
    <w:p w14:paraId="02FDBAF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承包人提交最终结算申请单的期限：</w:t>
      </w:r>
      <w:r>
        <w:rPr>
          <w:rFonts w:hint="eastAsia" w:ascii="宋体" w:hAnsi="宋体"/>
          <w:sz w:val="24"/>
          <w:u w:val="single"/>
        </w:rPr>
        <w:t xml:space="preserve">    </w:t>
      </w:r>
      <w:r>
        <w:rPr>
          <w:rFonts w:hint="eastAsia" w:ascii="宋体" w:hAnsi="宋体"/>
          <w:kern w:val="2"/>
          <w:sz w:val="24"/>
          <w:u w:val="single"/>
        </w:rPr>
        <w:t>缺陷期满且工程竣工投产两年后</w:t>
      </w:r>
      <w:r>
        <w:rPr>
          <w:rFonts w:hint="eastAsia" w:ascii="宋体" w:hAnsi="宋体"/>
          <w:sz w:val="24"/>
          <w:u w:val="single"/>
        </w:rPr>
        <w:t xml:space="preserve">   </w:t>
      </w:r>
      <w:r>
        <w:rPr>
          <w:rFonts w:hint="eastAsia" w:ascii="宋体" w:hAnsi="宋体"/>
          <w:sz w:val="24"/>
        </w:rPr>
        <w:t xml:space="preserve">。 </w:t>
      </w:r>
    </w:p>
    <w:p w14:paraId="1AAE050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.2 最终结清证书和支付</w:t>
      </w:r>
    </w:p>
    <w:p w14:paraId="79060A6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（1）发包人完成最终结清申请单的审批并颁发最终结清证书的期限：</w:t>
      </w:r>
      <w:r>
        <w:rPr>
          <w:rFonts w:hint="eastAsia" w:ascii="宋体" w:hAnsi="宋体"/>
          <w:sz w:val="24"/>
          <w:u w:val="single"/>
        </w:rPr>
        <w:t xml:space="preserve"> </w:t>
      </w:r>
      <w:r>
        <w:rPr>
          <w:rFonts w:hint="eastAsia" w:ascii="宋体" w:hAnsi="宋体"/>
          <w:kern w:val="2"/>
          <w:sz w:val="24"/>
          <w:u w:val="single"/>
        </w:rPr>
        <w:t>收到申请28天内</w:t>
      </w:r>
      <w:r>
        <w:rPr>
          <w:rFonts w:hint="eastAsia" w:ascii="宋体" w:hAnsi="宋体"/>
          <w:sz w:val="24"/>
          <w:u w:val="single"/>
        </w:rPr>
        <w:t xml:space="preserve">  </w:t>
      </w:r>
      <w:r>
        <w:rPr>
          <w:rFonts w:hint="eastAsia" w:ascii="宋体" w:hAnsi="宋体"/>
          <w:sz w:val="24"/>
        </w:rPr>
        <w:t>。</w:t>
      </w:r>
    </w:p>
    <w:p w14:paraId="4754ED9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（2）发包人完成支付的期限：</w:t>
      </w:r>
      <w:r>
        <w:rPr>
          <w:rFonts w:hint="eastAsia" w:ascii="宋体" w:hAnsi="宋体"/>
          <w:sz w:val="24"/>
          <w:u w:val="single"/>
        </w:rPr>
        <w:t xml:space="preserve">     </w:t>
      </w:r>
      <w:r>
        <w:rPr>
          <w:rFonts w:hint="eastAsia" w:ascii="宋体" w:hAnsi="宋体"/>
          <w:kern w:val="2"/>
          <w:sz w:val="24"/>
          <w:u w:val="single"/>
        </w:rPr>
        <w:t>申请签发后14天内</w:t>
      </w:r>
      <w:r>
        <w:rPr>
          <w:rFonts w:hint="eastAsia" w:ascii="宋体" w:hAnsi="宋体"/>
          <w:sz w:val="24"/>
          <w:u w:val="single"/>
        </w:rPr>
        <w:t xml:space="preserve">     </w:t>
      </w:r>
      <w:r>
        <w:rPr>
          <w:rFonts w:hint="eastAsia" w:ascii="宋体" w:hAnsi="宋体"/>
          <w:sz w:val="24"/>
        </w:rPr>
        <w:t>。</w:t>
      </w:r>
    </w:p>
    <w:p w14:paraId="2A48E96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7" w:name="_Toc267251484"/>
      <w:bookmarkEnd w:id="497"/>
      <w:bookmarkStart w:id="498" w:name="_Toc267251490"/>
      <w:bookmarkEnd w:id="498"/>
      <w:bookmarkStart w:id="499" w:name="_Toc267251504"/>
      <w:bookmarkEnd w:id="499"/>
      <w:bookmarkStart w:id="500" w:name="_Toc267251515"/>
      <w:bookmarkEnd w:id="500"/>
      <w:bookmarkStart w:id="501" w:name="_Toc267251495"/>
      <w:bookmarkEnd w:id="501"/>
      <w:bookmarkStart w:id="502" w:name="_Toc267251489"/>
      <w:bookmarkEnd w:id="502"/>
      <w:bookmarkStart w:id="503" w:name="_Toc267251483"/>
      <w:bookmarkEnd w:id="503"/>
      <w:bookmarkStart w:id="504" w:name="_Toc267251511"/>
      <w:bookmarkEnd w:id="504"/>
      <w:bookmarkStart w:id="505" w:name="_Toc267251508"/>
      <w:bookmarkEnd w:id="505"/>
      <w:bookmarkStart w:id="506" w:name="_Toc267251496"/>
      <w:bookmarkEnd w:id="506"/>
      <w:bookmarkStart w:id="507" w:name="_Toc351203647"/>
      <w:bookmarkEnd w:id="507"/>
      <w:bookmarkStart w:id="508" w:name="_Toc267251497"/>
      <w:bookmarkEnd w:id="508"/>
      <w:bookmarkStart w:id="509" w:name="_Toc267251492"/>
      <w:bookmarkEnd w:id="509"/>
      <w:bookmarkStart w:id="510" w:name="_Toc267251482"/>
      <w:bookmarkEnd w:id="510"/>
      <w:bookmarkStart w:id="511" w:name="_Toc267251502"/>
      <w:bookmarkEnd w:id="511"/>
      <w:bookmarkStart w:id="512" w:name="_Toc267251494"/>
      <w:bookmarkEnd w:id="512"/>
      <w:bookmarkStart w:id="513" w:name="_Toc267251503"/>
      <w:bookmarkEnd w:id="513"/>
      <w:bookmarkStart w:id="514" w:name="_Toc267251513"/>
      <w:bookmarkEnd w:id="514"/>
      <w:bookmarkStart w:id="515" w:name="_Toc267251488"/>
      <w:bookmarkEnd w:id="515"/>
      <w:bookmarkStart w:id="516" w:name="_Toc267251491"/>
      <w:bookmarkEnd w:id="516"/>
      <w:bookmarkStart w:id="517" w:name="_Toc267251501"/>
      <w:bookmarkEnd w:id="517"/>
      <w:bookmarkStart w:id="518" w:name="_Toc267251506"/>
      <w:bookmarkEnd w:id="518"/>
      <w:bookmarkStart w:id="519" w:name="_Toc267251493"/>
      <w:bookmarkEnd w:id="519"/>
      <w:bookmarkStart w:id="520" w:name="_Toc267251498"/>
      <w:bookmarkEnd w:id="520"/>
      <w:bookmarkStart w:id="521" w:name="_Toc267251514"/>
      <w:bookmarkEnd w:id="521"/>
      <w:bookmarkStart w:id="522" w:name="_Toc267251486"/>
      <w:bookmarkEnd w:id="522"/>
      <w:bookmarkStart w:id="523" w:name="_Toc267251509"/>
      <w:bookmarkEnd w:id="523"/>
      <w:bookmarkStart w:id="524" w:name="_Toc267251507"/>
      <w:bookmarkEnd w:id="524"/>
      <w:bookmarkStart w:id="525" w:name="_Toc267251485"/>
      <w:bookmarkEnd w:id="525"/>
      <w:bookmarkStart w:id="526" w:name="_Toc267251499"/>
      <w:bookmarkEnd w:id="526"/>
      <w:bookmarkStart w:id="527" w:name="_Toc267251510"/>
      <w:r>
        <w:rPr>
          <w:rFonts w:hint="eastAsia" w:ascii="宋体" w:hAnsi="宋体"/>
          <w:sz w:val="24"/>
        </w:rPr>
        <w:t>15. 缺陷责任期与保修</w:t>
      </w:r>
      <w:bookmarkEnd w:id="527"/>
    </w:p>
    <w:p w14:paraId="69E70D0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2</w:t>
      </w:r>
      <w:r>
        <w:rPr>
          <w:rFonts w:hint="eastAsia" w:ascii="宋体" w:hAnsi="宋体"/>
          <w:sz w:val="24"/>
        </w:rPr>
        <w:t>缺陷责任期</w:t>
      </w:r>
    </w:p>
    <w:p w14:paraId="48767E3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缺陷责任期的具体期限：</w:t>
      </w:r>
      <w:r>
        <w:rPr>
          <w:rFonts w:hint="eastAsia" w:ascii="宋体" w:hAnsi="宋体"/>
          <w:sz w:val="24"/>
          <w:u w:val="single"/>
        </w:rPr>
        <w:t xml:space="preserve">             /              </w:t>
      </w:r>
      <w:r>
        <w:rPr>
          <w:rFonts w:hint="eastAsia" w:ascii="宋体" w:hAnsi="宋体"/>
          <w:sz w:val="24"/>
        </w:rPr>
        <w:t>。</w:t>
      </w:r>
    </w:p>
    <w:p w14:paraId="417FFA2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 质量保证金</w:t>
      </w:r>
    </w:p>
    <w:p w14:paraId="4548DC9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关于是否扣留质量保证金的约定：</w:t>
      </w:r>
      <w:r>
        <w:rPr>
          <w:rFonts w:hint="eastAsia" w:ascii="宋体" w:hAnsi="宋体"/>
          <w:sz w:val="24"/>
          <w:u w:val="single"/>
        </w:rPr>
        <w:t xml:space="preserve">           /           </w:t>
      </w:r>
      <w:r>
        <w:rPr>
          <w:rFonts w:hint="eastAsia" w:ascii="宋体" w:hAnsi="宋体"/>
          <w:sz w:val="24"/>
        </w:rPr>
        <w:t>。在工程项目竣工前，承包人按专用合同条款第3.7条提供履约担保的，发包人不得同时预留工程质量保证金。</w:t>
      </w:r>
    </w:p>
    <w:p w14:paraId="50B68B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.1 承包人提供质量保证金的方式</w:t>
      </w:r>
    </w:p>
    <w:p w14:paraId="329DC6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质量保证金采用以下第</w:t>
      </w:r>
      <w:r>
        <w:rPr>
          <w:rFonts w:hint="eastAsia" w:ascii="宋体" w:hAnsi="宋体"/>
          <w:sz w:val="24"/>
          <w:u w:val="single"/>
        </w:rPr>
        <w:t xml:space="preserve"> </w:t>
      </w:r>
      <w:r>
        <w:rPr>
          <w:rFonts w:hint="eastAsia" w:ascii="宋体" w:hAnsi="宋体"/>
          <w:sz w:val="24"/>
          <w:u w:val="single"/>
          <w:lang w:val="en-US" w:eastAsia="zh-CN"/>
        </w:rPr>
        <w:t xml:space="preserve"> 2</w:t>
      </w:r>
      <w:r>
        <w:rPr>
          <w:rFonts w:hint="eastAsia" w:ascii="宋体" w:hAnsi="宋体"/>
          <w:sz w:val="24"/>
          <w:u w:val="single"/>
        </w:rPr>
        <w:t xml:space="preserve">   </w:t>
      </w:r>
      <w:r>
        <w:rPr>
          <w:rFonts w:hint="eastAsia" w:ascii="宋体" w:hAnsi="宋体"/>
          <w:sz w:val="24"/>
        </w:rPr>
        <w:t>种方式：</w:t>
      </w:r>
    </w:p>
    <w:p w14:paraId="6A3C1E3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（1）质量保证金保函，保证金额为：</w:t>
      </w:r>
      <w:r>
        <w:rPr>
          <w:rFonts w:hint="eastAsia" w:ascii="宋体" w:hAnsi="宋体"/>
          <w:sz w:val="24"/>
          <w:u w:val="single"/>
        </w:rPr>
        <w:t xml:space="preserve">        /          </w:t>
      </w:r>
      <w:r>
        <w:rPr>
          <w:rFonts w:hint="eastAsia" w:ascii="宋体" w:hAnsi="宋体"/>
          <w:sz w:val="24"/>
        </w:rPr>
        <w:t xml:space="preserve">； </w:t>
      </w:r>
    </w:p>
    <w:p w14:paraId="54BE5267">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u w:val="single"/>
          <w:lang w:val="en-US" w:eastAsia="zh-CN"/>
        </w:rPr>
        <w:t>3</w:t>
      </w:r>
      <w:r>
        <w:rPr>
          <w:rFonts w:hint="eastAsia" w:ascii="宋体" w:hAnsi="宋体"/>
          <w:sz w:val="24"/>
          <w:u w:val="single"/>
        </w:rPr>
        <w:t xml:space="preserve">  </w:t>
      </w:r>
      <w:r>
        <w:rPr>
          <w:rFonts w:hint="eastAsia" w:ascii="宋体" w:hAnsi="宋体"/>
          <w:sz w:val="24"/>
        </w:rPr>
        <w:t>%的工程款；</w:t>
      </w:r>
    </w:p>
    <w:p w14:paraId="72508A0B">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（3）其他方式:</w:t>
      </w:r>
      <w:r>
        <w:rPr>
          <w:rFonts w:hint="eastAsia" w:ascii="宋体" w:hAnsi="宋体"/>
          <w:sz w:val="24"/>
          <w:u w:val="single"/>
        </w:rPr>
        <w:t xml:space="preserve">                   /                   </w:t>
      </w:r>
      <w:r>
        <w:rPr>
          <w:rFonts w:hint="eastAsia" w:ascii="宋体" w:hAnsi="宋体"/>
          <w:sz w:val="24"/>
        </w:rPr>
        <w:t>。</w:t>
      </w:r>
    </w:p>
    <w:p w14:paraId="6DCBDDD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.2 质量保证金的扣留 </w:t>
      </w:r>
    </w:p>
    <w:p w14:paraId="3E1DD7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质量保证金的扣留采取以下第</w:t>
      </w:r>
      <w:r>
        <w:rPr>
          <w:rFonts w:hint="eastAsia" w:ascii="宋体" w:hAnsi="宋体"/>
          <w:sz w:val="24"/>
          <w:u w:val="single"/>
        </w:rPr>
        <w:t xml:space="preserve">  </w:t>
      </w:r>
      <w:r>
        <w:rPr>
          <w:rFonts w:hint="eastAsia" w:ascii="宋体" w:hAnsi="宋体"/>
          <w:sz w:val="24"/>
          <w:u w:val="single"/>
          <w:lang w:val="en-US" w:eastAsia="zh-CN"/>
        </w:rPr>
        <w:t>2</w:t>
      </w:r>
      <w:r>
        <w:rPr>
          <w:rFonts w:hint="eastAsia" w:ascii="宋体" w:hAnsi="宋体"/>
          <w:sz w:val="24"/>
          <w:u w:val="single"/>
        </w:rPr>
        <w:t xml:space="preserve">  </w:t>
      </w:r>
      <w:r>
        <w:rPr>
          <w:rFonts w:hint="eastAsia" w:ascii="宋体" w:hAnsi="宋体"/>
          <w:sz w:val="24"/>
        </w:rPr>
        <w:t>种方式：</w:t>
      </w:r>
    </w:p>
    <w:p w14:paraId="0B2C69E4">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（1）在支付工程进度款时逐次扣留，在此情形下，质量保证金的计算基数不包括预付款的支付、扣回以及价格调整的金额；</w:t>
      </w:r>
    </w:p>
    <w:p w14:paraId="4776263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（2）工程竣工结算时一次性扣留质量保证金；</w:t>
      </w:r>
    </w:p>
    <w:p w14:paraId="1368DD0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（3）其他扣留方式:</w:t>
      </w:r>
      <w:r>
        <w:rPr>
          <w:rFonts w:hint="eastAsia" w:ascii="宋体" w:hAnsi="宋体"/>
          <w:sz w:val="24"/>
          <w:u w:val="single"/>
        </w:rPr>
        <w:t xml:space="preserve">                /                  </w:t>
      </w:r>
      <w:r>
        <w:rPr>
          <w:rFonts w:hint="eastAsia" w:ascii="宋体" w:hAnsi="宋体"/>
          <w:sz w:val="24"/>
        </w:rPr>
        <w:t>。</w:t>
      </w:r>
    </w:p>
    <w:p w14:paraId="09B3E59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关于质量保证金的补充约定：</w:t>
      </w:r>
      <w:r>
        <w:rPr>
          <w:rFonts w:hint="eastAsia" w:ascii="宋体" w:hAnsi="宋体"/>
          <w:sz w:val="24"/>
          <w:u w:val="single"/>
        </w:rPr>
        <w:t xml:space="preserve">         /                 </w:t>
      </w:r>
      <w:r>
        <w:rPr>
          <w:rFonts w:hint="eastAsia" w:ascii="宋体" w:hAnsi="宋体"/>
          <w:sz w:val="24"/>
        </w:rPr>
        <w:t>。</w:t>
      </w:r>
    </w:p>
    <w:p w14:paraId="4295F50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保修</w:t>
      </w:r>
    </w:p>
    <w:p w14:paraId="78C9695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.1 保修责任</w:t>
      </w:r>
    </w:p>
    <w:p w14:paraId="1E9C90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工程保修期为：</w:t>
      </w:r>
      <w:r>
        <w:rPr>
          <w:rFonts w:hint="eastAsia" w:ascii="宋体" w:hAnsi="宋体"/>
          <w:sz w:val="24"/>
          <w:u w:val="single"/>
        </w:rPr>
        <w:t xml:space="preserve">           </w:t>
      </w:r>
      <w:r>
        <w:rPr>
          <w:rFonts w:hint="eastAsia" w:ascii="宋体" w:hAnsi="宋体"/>
          <w:kern w:val="2"/>
          <w:sz w:val="24"/>
          <w:u w:val="single"/>
        </w:rPr>
        <w:t xml:space="preserve">见工程质量保修书 </w:t>
      </w:r>
      <w:r>
        <w:rPr>
          <w:rFonts w:hint="eastAsia" w:ascii="宋体" w:hAnsi="宋体"/>
          <w:sz w:val="24"/>
          <w:u w:val="single"/>
        </w:rPr>
        <w:t xml:space="preserve">             </w:t>
      </w:r>
      <w:r>
        <w:rPr>
          <w:rFonts w:hint="eastAsia" w:ascii="宋体" w:hAnsi="宋体"/>
          <w:sz w:val="24"/>
        </w:rPr>
        <w:t>。</w:t>
      </w:r>
    </w:p>
    <w:p w14:paraId="1A9484D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修复通知</w:t>
      </w:r>
    </w:p>
    <w:p w14:paraId="0D7178F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承包人收到保修通知并到达工程现场的合理时间：</w:t>
      </w:r>
      <w:r>
        <w:rPr>
          <w:rFonts w:hint="eastAsia" w:ascii="宋体" w:hAnsi="宋体"/>
          <w:sz w:val="24"/>
          <w:u w:val="single"/>
        </w:rPr>
        <w:t xml:space="preserve">  24小时内  </w:t>
      </w:r>
      <w:r>
        <w:rPr>
          <w:rFonts w:hint="eastAsia" w:ascii="宋体" w:hAnsi="宋体"/>
          <w:sz w:val="24"/>
        </w:rPr>
        <w:t>。</w:t>
      </w:r>
    </w:p>
    <w:p w14:paraId="027D029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528" w:name="_Toc280868717"/>
      <w:bookmarkEnd w:id="528"/>
      <w:bookmarkStart w:id="529" w:name="_Toc351203648"/>
      <w:bookmarkEnd w:id="529"/>
      <w:bookmarkStart w:id="530" w:name="_Toc280868718"/>
      <w:bookmarkEnd w:id="530"/>
      <w:r>
        <w:rPr>
          <w:rFonts w:hint="eastAsia" w:ascii="宋体" w:hAnsi="宋体"/>
          <w:sz w:val="24"/>
        </w:rPr>
        <w:t>16. 违约</w:t>
      </w:r>
    </w:p>
    <w:p w14:paraId="6D491DB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16.1 发包人违约</w:t>
      </w:r>
    </w:p>
    <w:p w14:paraId="2FCD04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16.1.1发包人违约的情形</w:t>
      </w:r>
    </w:p>
    <w:p w14:paraId="5D7DB504">
      <w:pPr>
        <w:keepNext w:val="0"/>
        <w:keepLines w:val="0"/>
        <w:pageBreakBefore w:val="0"/>
        <w:kinsoku/>
        <w:wordWrap/>
        <w:overflowPunct/>
        <w:topLinePunct w:val="0"/>
        <w:bidi w:val="0"/>
        <w:spacing w:line="400" w:lineRule="exact"/>
        <w:ind w:left="1358" w:leftChars="228" w:hanging="720" w:hangingChars="300"/>
        <w:jc w:val="left"/>
        <w:textAlignment w:val="auto"/>
        <w:outlineLvl w:val="9"/>
        <w:rPr>
          <w:rFonts w:hint="eastAsia" w:ascii="宋体" w:hAnsi="宋体"/>
          <w:sz w:val="24"/>
        </w:rPr>
      </w:pPr>
      <w:r>
        <w:rPr>
          <w:rFonts w:hint="eastAsia" w:ascii="宋体" w:hAnsi="宋体"/>
          <w:sz w:val="24"/>
        </w:rPr>
        <w:t>发包人违约的其他情形：</w:t>
      </w:r>
      <w:r>
        <w:rPr>
          <w:rFonts w:hint="eastAsia" w:ascii="宋体" w:hAnsi="宋体"/>
          <w:sz w:val="24"/>
          <w:u w:val="single"/>
        </w:rPr>
        <w:t xml:space="preserve">                  /             </w:t>
      </w:r>
      <w:r>
        <w:rPr>
          <w:rFonts w:hint="eastAsia" w:ascii="宋体" w:hAnsi="宋体"/>
          <w:sz w:val="24"/>
        </w:rPr>
        <w:t>。</w:t>
      </w:r>
    </w:p>
    <w:p w14:paraId="23F696CF">
      <w:pPr>
        <w:keepNext w:val="0"/>
        <w:keepLines w:val="0"/>
        <w:pageBreakBefore w:val="0"/>
        <w:kinsoku/>
        <w:wordWrap/>
        <w:overflowPunct/>
        <w:topLinePunct w:val="0"/>
        <w:bidi w:val="0"/>
        <w:spacing w:line="400" w:lineRule="exact"/>
        <w:ind w:left="1200" w:hanging="1200" w:hangingChars="500"/>
        <w:jc w:val="left"/>
        <w:textAlignment w:val="auto"/>
        <w:outlineLvl w:val="9"/>
        <w:rPr>
          <w:rFonts w:hint="eastAsia" w:ascii="宋体" w:hAnsi="宋体"/>
          <w:sz w:val="24"/>
        </w:rPr>
      </w:pPr>
      <w:r>
        <w:rPr>
          <w:rFonts w:hint="eastAsia" w:ascii="宋体" w:hAnsi="宋体"/>
          <w:sz w:val="24"/>
        </w:rPr>
        <w:t xml:space="preserve">    16.1.2 发包人违约的责任</w:t>
      </w:r>
    </w:p>
    <w:p w14:paraId="14A412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发包人违约责任的承担方式和计算方法：</w:t>
      </w:r>
    </w:p>
    <w:p w14:paraId="01B54F4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（1）因发包人原因未能在计划开工日期前7天内下达开工通知的违约责任：</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41617E3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（2）因发包人原因未能按合同约定支付合同价款的违约责任：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1ECAE6">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（3）发包人违反第10.1款〔变更的范围〕第（2）项约定，自行实施被取消的工作或转由他人实施的违约责任：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9DA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（4）发包人提供的材料、工程设备的规格、数量或质量不符合合同约定，或因发包人原因导致交货日期延误或交货地点变更等情况的违约责任：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rPr>
        <w:t>。</w:t>
      </w:r>
    </w:p>
    <w:p w14:paraId="3A15E7C3">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（5）因发包人违反合同约定造成暂停施工的违约责任：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28EECAC">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（6）发包人无正当理由没有在约定期限内发出复工指示，导致承包人无法复工的违约责任：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A862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（7）其他：</w:t>
      </w:r>
      <w:r>
        <w:rPr>
          <w:rFonts w:hint="eastAsia" w:ascii="宋体" w:hAnsi="宋体"/>
          <w:sz w:val="24"/>
          <w:u w:val="single"/>
        </w:rPr>
        <w:t xml:space="preserve">                    /                     </w:t>
      </w:r>
      <w:r>
        <w:rPr>
          <w:rFonts w:hint="eastAsia" w:ascii="宋体" w:hAnsi="宋体"/>
          <w:sz w:val="24"/>
        </w:rPr>
        <w:t>。</w:t>
      </w:r>
    </w:p>
    <w:p w14:paraId="586F618E">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16.1.3 因发包人违约解除合同</w:t>
      </w:r>
    </w:p>
    <w:p w14:paraId="0695BC12">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承包人按16.1.1项〔发包人违约的情形〕约定暂停施工满</w:t>
      </w:r>
      <w:r>
        <w:rPr>
          <w:rFonts w:hint="eastAsia" w:ascii="宋体" w:hAnsi="宋体"/>
          <w:sz w:val="24"/>
          <w:u w:val="single"/>
        </w:rPr>
        <w:t xml:space="preserve">  60  </w:t>
      </w:r>
      <w:r>
        <w:rPr>
          <w:rFonts w:hint="eastAsia" w:ascii="宋体" w:hAnsi="宋体"/>
          <w:sz w:val="24"/>
        </w:rPr>
        <w:t>天后发包人仍不纠正其违约行为并致使合同目的不能实现的，承包人有权解除合同。</w:t>
      </w:r>
    </w:p>
    <w:p w14:paraId="4B384B94">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16.2 承包人违约</w:t>
      </w:r>
    </w:p>
    <w:p w14:paraId="22C89B75">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16.2.1 承包人违约的情形</w:t>
      </w:r>
    </w:p>
    <w:p w14:paraId="01E1FC23">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承包人违约的其他情形：</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543BD641">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16.2.2承包人违约的责任</w:t>
      </w:r>
    </w:p>
    <w:p w14:paraId="4EE90AF2">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承包人违约责任的承担方式和计算方法：</w:t>
      </w:r>
      <w:r>
        <w:rPr>
          <w:rFonts w:hint="eastAsia" w:ascii="宋体" w:hAnsi="宋体"/>
          <w:sz w:val="24"/>
          <w:u w:val="single"/>
        </w:rPr>
        <w:t>由承包人承担全部费用并承担相关法律责任</w:t>
      </w:r>
      <w:r>
        <w:rPr>
          <w:rFonts w:hint="eastAsia" w:ascii="宋体" w:hAnsi="宋体"/>
          <w:sz w:val="24"/>
        </w:rPr>
        <w:t xml:space="preserve">。    </w:t>
      </w:r>
    </w:p>
    <w:p w14:paraId="150917DA">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16.2.3 因承包人违约解除合同</w:t>
      </w:r>
    </w:p>
    <w:p w14:paraId="73636704">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关于承包人违约解除合同的特别约定：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726895EF">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发包人继续使用承包人在施工现场的材料、设备、临时工程、承包人文件和由承包人或以其名义编制的其他文件的费用承担方式：</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E6CBBA">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1" w:name="_Toc351203649"/>
      <w:bookmarkEnd w:id="531"/>
      <w:r>
        <w:rPr>
          <w:rFonts w:hint="eastAsia" w:ascii="宋体" w:hAnsi="宋体"/>
          <w:sz w:val="24"/>
        </w:rPr>
        <w:t xml:space="preserve">17. 不可抗力 </w:t>
      </w:r>
    </w:p>
    <w:p w14:paraId="1EDC65E1">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17.1 不可抗力的确认</w:t>
      </w:r>
    </w:p>
    <w:p w14:paraId="7591A9D6">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除通用合同条款约定的不可抗力事件之外，视为不可抗力的其他情形：</w:t>
      </w:r>
      <w:r>
        <w:rPr>
          <w:rFonts w:hint="eastAsia" w:ascii="宋体" w:hAnsi="宋体"/>
          <w:sz w:val="24"/>
          <w:u w:val="single"/>
        </w:rPr>
        <w:t xml:space="preserve"> /   </w:t>
      </w:r>
      <w:r>
        <w:rPr>
          <w:rFonts w:hint="eastAsia" w:ascii="宋体" w:hAnsi="宋体"/>
          <w:sz w:val="24"/>
        </w:rPr>
        <w:t>。</w:t>
      </w:r>
    </w:p>
    <w:p w14:paraId="226F9D6B">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w:t>
      </w:r>
      <w:r>
        <w:rPr>
          <w:rFonts w:hint="eastAsia" w:ascii="宋体" w:hAnsi="宋体"/>
          <w:sz w:val="24"/>
          <w:lang w:val="en-US" w:eastAsia="zh-CN"/>
        </w:rPr>
        <w:t xml:space="preserve">4 </w:t>
      </w:r>
      <w:r>
        <w:rPr>
          <w:rFonts w:hint="eastAsia" w:ascii="宋体" w:hAnsi="宋体"/>
          <w:sz w:val="24"/>
        </w:rPr>
        <w:t>因不可抗力解除合同</w:t>
      </w:r>
    </w:p>
    <w:p w14:paraId="5E3A60F8">
      <w:pPr>
        <w:keepNext w:val="0"/>
        <w:keepLines w:val="0"/>
        <w:pageBreakBefore w:val="0"/>
        <w:kinsoku/>
        <w:wordWrap/>
        <w:overflowPunct/>
        <w:topLinePunct w:val="0"/>
        <w:bidi w:val="0"/>
        <w:snapToGrid/>
        <w:spacing w:line="400" w:lineRule="exact"/>
        <w:ind w:firstLine="456" w:firstLineChars="200"/>
        <w:jc w:val="left"/>
        <w:textAlignment w:val="auto"/>
        <w:outlineLvl w:val="9"/>
        <w:rPr>
          <w:rFonts w:hint="eastAsia" w:ascii="宋体" w:hAnsi="宋体"/>
          <w:sz w:val="24"/>
        </w:rPr>
      </w:pPr>
      <w:r>
        <w:rPr>
          <w:rFonts w:hint="eastAsia" w:ascii="宋体" w:hAnsi="宋体"/>
          <w:spacing w:val="-6"/>
          <w:sz w:val="24"/>
        </w:rPr>
        <w:t>合同解除后，发包人应在商定或确定发包人应支付款项后</w:t>
      </w:r>
      <w:r>
        <w:rPr>
          <w:rFonts w:hint="eastAsia" w:ascii="宋体" w:hAnsi="宋体"/>
          <w:spacing w:val="-6"/>
          <w:sz w:val="24"/>
          <w:u w:val="single"/>
        </w:rPr>
        <w:t>60</w:t>
      </w:r>
      <w:r>
        <w:rPr>
          <w:rFonts w:hint="eastAsia" w:ascii="宋体" w:hAnsi="宋体"/>
          <w:spacing w:val="-6"/>
          <w:sz w:val="24"/>
        </w:rPr>
        <w:t>天内完成款项的支付。</w:t>
      </w:r>
    </w:p>
    <w:p w14:paraId="2D742BD2">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2" w:name="_Toc351203650"/>
      <w:bookmarkEnd w:id="532"/>
      <w:r>
        <w:rPr>
          <w:rFonts w:hint="eastAsia" w:ascii="宋体" w:hAnsi="宋体"/>
          <w:sz w:val="24"/>
        </w:rPr>
        <w:t>18. 保险</w:t>
      </w:r>
    </w:p>
    <w:p w14:paraId="1A5DC88C">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18.1 工程保险</w:t>
      </w:r>
    </w:p>
    <w:p w14:paraId="52D8548D">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关于工程保险的特别约定：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61DADC8F">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3</w:t>
      </w:r>
      <w:r>
        <w:rPr>
          <w:rFonts w:hint="eastAsia" w:ascii="宋体" w:hAnsi="宋体"/>
          <w:sz w:val="24"/>
        </w:rPr>
        <w:t xml:space="preserve"> 其他保险</w:t>
      </w:r>
    </w:p>
    <w:p w14:paraId="3396180A">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关于其他保险的约定：</w:t>
      </w:r>
      <w:r>
        <w:rPr>
          <w:rFonts w:hint="eastAsia" w:ascii="宋体" w:hAnsi="宋体"/>
          <w:sz w:val="24"/>
          <w:u w:val="single"/>
        </w:rPr>
        <w:t xml:space="preserve">               /             </w:t>
      </w:r>
      <w:r>
        <w:rPr>
          <w:rFonts w:hint="eastAsia" w:ascii="宋体" w:hAnsi="宋体"/>
          <w:sz w:val="24"/>
        </w:rPr>
        <w:t>。</w:t>
      </w:r>
    </w:p>
    <w:p w14:paraId="5CB7EDFC">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承包人是否应为其施工设备等办理财产保险：</w:t>
      </w:r>
      <w:r>
        <w:rPr>
          <w:rFonts w:hint="eastAsia" w:ascii="宋体" w:hAnsi="宋体"/>
          <w:sz w:val="24"/>
          <w:u w:val="single"/>
        </w:rPr>
        <w:t xml:space="preserve">         </w:t>
      </w:r>
      <w:r>
        <w:rPr>
          <w:rFonts w:hint="eastAsia" w:ascii="宋体" w:hAnsi="宋体"/>
          <w:sz w:val="24"/>
        </w:rPr>
        <w:t>。</w:t>
      </w:r>
    </w:p>
    <w:p w14:paraId="0A52BB52">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 xml:space="preserve">7 </w:t>
      </w:r>
      <w:r>
        <w:rPr>
          <w:rFonts w:hint="eastAsia" w:ascii="宋体" w:hAnsi="宋体"/>
          <w:sz w:val="24"/>
        </w:rPr>
        <w:t>通知义务</w:t>
      </w:r>
    </w:p>
    <w:p w14:paraId="6EA11005">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关于变更保险合同时的通知义务的约定：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410B5F47">
      <w:pPr>
        <w:keepNext w:val="0"/>
        <w:keepLines w:val="0"/>
        <w:pageBreakBefore w:val="0"/>
        <w:widowControl/>
        <w:kinsoku/>
        <w:wordWrap/>
        <w:overflowPunct/>
        <w:topLinePunct w:val="0"/>
        <w:bidi w:val="0"/>
        <w:snapToGrid/>
        <w:spacing w:line="400" w:lineRule="exact"/>
        <w:jc w:val="left"/>
        <w:textAlignment w:val="auto"/>
        <w:outlineLvl w:val="9"/>
        <w:rPr>
          <w:rFonts w:hint="eastAsia" w:ascii="宋体" w:hAnsi="宋体"/>
          <w:sz w:val="24"/>
        </w:rPr>
      </w:pPr>
      <w:bookmarkStart w:id="533" w:name="_Toc351203651"/>
      <w:bookmarkEnd w:id="533"/>
      <w:r>
        <w:rPr>
          <w:rFonts w:hint="eastAsia" w:ascii="宋体" w:hAnsi="宋体"/>
          <w:sz w:val="24"/>
          <w:lang w:val="en-US" w:eastAsia="zh-CN"/>
        </w:rPr>
        <w:t>20</w:t>
      </w:r>
      <w:r>
        <w:rPr>
          <w:rFonts w:hint="eastAsia" w:ascii="宋体" w:hAnsi="宋体"/>
          <w:sz w:val="24"/>
        </w:rPr>
        <w:t>. 争议解决</w:t>
      </w:r>
    </w:p>
    <w:p w14:paraId="73FE8451">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争议评审</w:t>
      </w:r>
    </w:p>
    <w:p w14:paraId="5D50B727">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合同当事人是否同意将工程争议提交争议评审小组决定：</w:t>
      </w:r>
      <w:r>
        <w:rPr>
          <w:rFonts w:hint="eastAsia" w:ascii="宋体" w:hAnsi="宋体"/>
          <w:sz w:val="24"/>
          <w:u w:val="single"/>
        </w:rPr>
        <w:t xml:space="preserve">   /   </w:t>
      </w:r>
      <w:r>
        <w:rPr>
          <w:rFonts w:hint="eastAsia" w:ascii="宋体" w:hAnsi="宋体"/>
          <w:sz w:val="24"/>
        </w:rPr>
        <w:t xml:space="preserve">。  </w:t>
      </w:r>
    </w:p>
    <w:p w14:paraId="7F343CC5">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.1 争议评审小组的确定</w:t>
      </w:r>
    </w:p>
    <w:p w14:paraId="45301E63">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u w:val="single"/>
        </w:rPr>
      </w:pPr>
      <w:r>
        <w:rPr>
          <w:rFonts w:hint="eastAsia" w:ascii="宋体" w:hAnsi="宋体"/>
          <w:sz w:val="24"/>
        </w:rPr>
        <w:t>争议评审小组成员的确定：</w:t>
      </w:r>
      <w:r>
        <w:rPr>
          <w:rFonts w:hint="eastAsia" w:ascii="宋体" w:hAnsi="宋体"/>
          <w:sz w:val="24"/>
          <w:u w:val="single"/>
        </w:rPr>
        <w:t xml:space="preserve">              /              </w:t>
      </w:r>
      <w:r>
        <w:rPr>
          <w:rFonts w:hint="eastAsia" w:ascii="宋体" w:hAnsi="宋体"/>
          <w:sz w:val="24"/>
        </w:rPr>
        <w:t>。</w:t>
      </w:r>
    </w:p>
    <w:p w14:paraId="691C53B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选定争议评审员的期限：</w:t>
      </w:r>
      <w:r>
        <w:rPr>
          <w:rFonts w:hint="eastAsia" w:ascii="宋体" w:hAnsi="宋体"/>
          <w:sz w:val="24"/>
          <w:u w:val="single"/>
        </w:rPr>
        <w:t xml:space="preserve">                /              </w:t>
      </w:r>
      <w:r>
        <w:rPr>
          <w:rFonts w:hint="eastAsia" w:ascii="宋体" w:hAnsi="宋体"/>
          <w:sz w:val="24"/>
        </w:rPr>
        <w:t>。</w:t>
      </w:r>
    </w:p>
    <w:p w14:paraId="0F2D1149">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争议评审小组成员的报酬承担方式：</w:t>
      </w:r>
      <w:r>
        <w:rPr>
          <w:rFonts w:hint="eastAsia" w:ascii="宋体" w:hAnsi="宋体"/>
          <w:sz w:val="24"/>
          <w:u w:val="single"/>
        </w:rPr>
        <w:t xml:space="preserve">        /            </w:t>
      </w:r>
      <w:r>
        <w:rPr>
          <w:rFonts w:hint="eastAsia" w:ascii="宋体" w:hAnsi="宋体"/>
          <w:sz w:val="24"/>
        </w:rPr>
        <w:t>。</w:t>
      </w:r>
    </w:p>
    <w:p w14:paraId="73515B1E">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其他事项的约定：</w:t>
      </w:r>
      <w:r>
        <w:rPr>
          <w:rFonts w:hint="eastAsia" w:ascii="宋体" w:hAnsi="宋体"/>
          <w:sz w:val="24"/>
          <w:u w:val="single"/>
        </w:rPr>
        <w:t xml:space="preserve">                 /                   </w:t>
      </w:r>
      <w:r>
        <w:rPr>
          <w:rFonts w:hint="eastAsia" w:ascii="宋体" w:hAnsi="宋体"/>
          <w:sz w:val="24"/>
        </w:rPr>
        <w:t>。</w:t>
      </w:r>
    </w:p>
    <w:p w14:paraId="3D5E3829">
      <w:pPr>
        <w:keepNext w:val="0"/>
        <w:keepLines w:val="0"/>
        <w:pageBreakBefore w:val="0"/>
        <w:widowControl/>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.2 争议评审小组的决定</w:t>
      </w:r>
    </w:p>
    <w:p w14:paraId="61B5EEF1">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合同当事人关于本项的约定：</w:t>
      </w:r>
      <w:r>
        <w:rPr>
          <w:rFonts w:hint="eastAsia" w:ascii="宋体" w:hAnsi="宋体"/>
          <w:sz w:val="24"/>
          <w:u w:val="single"/>
        </w:rPr>
        <w:t xml:space="preserve">            /              </w:t>
      </w:r>
      <w:r>
        <w:rPr>
          <w:rFonts w:hint="eastAsia" w:ascii="宋体" w:hAnsi="宋体"/>
          <w:sz w:val="24"/>
        </w:rPr>
        <w:t>。</w:t>
      </w:r>
    </w:p>
    <w:p w14:paraId="5842466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4</w:t>
      </w:r>
      <w:r>
        <w:rPr>
          <w:rFonts w:hint="eastAsia" w:ascii="宋体" w:hAnsi="宋体"/>
          <w:sz w:val="24"/>
        </w:rPr>
        <w:t>仲裁或诉讼</w:t>
      </w:r>
    </w:p>
    <w:p w14:paraId="26B63C7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因合同及合同有关事项发生的争议，按下列第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种方式解决：</w:t>
      </w:r>
    </w:p>
    <w:p w14:paraId="1A8BE67F">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仲裁委员会申请仲裁；</w:t>
      </w:r>
    </w:p>
    <w:p w14:paraId="7C21711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人民法院起诉。</w:t>
      </w:r>
    </w:p>
    <w:p w14:paraId="26FDAE53">
      <w:pPr>
        <w:keepNext w:val="0"/>
        <w:keepLines w:val="0"/>
        <w:pageBreakBefore w:val="0"/>
        <w:widowControl/>
        <w:kinsoku/>
        <w:wordWrap/>
        <w:overflowPunct/>
        <w:topLinePunct w:val="0"/>
        <w:bidi w:val="0"/>
        <w:snapToGrid/>
        <w:spacing w:line="380" w:lineRule="exact"/>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w:t>
      </w:r>
    </w:p>
    <w:p w14:paraId="253E1371">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4567558E">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476EC04">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1A96F97A">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6C3D00FE">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6EDCEA9F">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6</w:t>
      </w:r>
      <w:r>
        <w:rPr>
          <w:rFonts w:hint="eastAsia" w:ascii="宋体" w:hAnsi="宋体" w:eastAsia="宋体" w:cs="宋体"/>
          <w:b w:val="0"/>
          <w:bCs/>
          <w:color w:val="auto"/>
          <w:sz w:val="24"/>
        </w:rPr>
        <w:t>：履约担保格式</w:t>
      </w:r>
    </w:p>
    <w:p w14:paraId="74269084">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7</w:t>
      </w:r>
      <w:r>
        <w:rPr>
          <w:rFonts w:hint="eastAsia" w:ascii="宋体" w:hAnsi="宋体" w:eastAsia="宋体" w:cs="宋体"/>
          <w:b w:val="0"/>
          <w:bCs/>
          <w:color w:val="auto"/>
          <w:sz w:val="24"/>
        </w:rPr>
        <w:t>：预付款担保</w:t>
      </w:r>
    </w:p>
    <w:p w14:paraId="71E9A0E1">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w:t>
      </w:r>
      <w:r>
        <w:rPr>
          <w:rFonts w:hint="eastAsia" w:ascii="宋体" w:hAnsi="宋体" w:eastAsia="宋体" w:cs="宋体"/>
          <w:b w:val="0"/>
          <w:bCs/>
          <w:color w:val="auto"/>
          <w:sz w:val="24"/>
          <w:lang w:val="en-US" w:eastAsia="zh-CN"/>
        </w:rPr>
        <w:t>件8</w:t>
      </w:r>
      <w:r>
        <w:rPr>
          <w:rFonts w:hint="eastAsia" w:ascii="宋体" w:hAnsi="宋体" w:eastAsia="宋体" w:cs="宋体"/>
          <w:b w:val="0"/>
          <w:bCs/>
          <w:color w:val="auto"/>
          <w:sz w:val="24"/>
        </w:rPr>
        <w:t>：</w:t>
      </w:r>
      <w:r>
        <w:rPr>
          <w:rFonts w:hint="eastAsia" w:ascii="宋体" w:hAnsi="宋体" w:eastAsia="宋体" w:cs="宋体"/>
          <w:b w:val="0"/>
          <w:bCs/>
          <w:color w:val="auto"/>
          <w:sz w:val="24"/>
          <w:lang w:val="en-US" w:eastAsia="zh-CN"/>
        </w:rPr>
        <w:t>支付</w:t>
      </w:r>
      <w:r>
        <w:rPr>
          <w:rFonts w:hint="eastAsia" w:ascii="宋体" w:hAnsi="宋体" w:eastAsia="宋体" w:cs="宋体"/>
          <w:b w:val="0"/>
          <w:bCs/>
          <w:color w:val="auto"/>
          <w:sz w:val="24"/>
        </w:rPr>
        <w:t>担保格式</w:t>
      </w:r>
    </w:p>
    <w:p w14:paraId="5CD1A7B2">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rPr>
        <w:t>：暂估价一览表</w:t>
      </w:r>
    </w:p>
    <w:p w14:paraId="3AD393F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b/>
          <w:bCs w:val="0"/>
          <w:color w:val="auto"/>
          <w:sz w:val="28"/>
          <w:szCs w:val="28"/>
          <w:lang w:val="en-US" w:eastAsia="zh-CN"/>
        </w:rPr>
      </w:pPr>
    </w:p>
    <w:p w14:paraId="4840F972">
      <w:pPr>
        <w:keepNext w:val="0"/>
        <w:keepLines w:val="0"/>
        <w:pageBreakBefore w:val="0"/>
        <w:widowControl/>
        <w:kinsoku/>
        <w:wordWrap/>
        <w:overflowPunct/>
        <w:topLinePunct w:val="0"/>
        <w:autoSpaceDE/>
        <w:autoSpaceDN/>
        <w:bidi w:val="0"/>
        <w:adjustRightInd/>
        <w:snapToGrid/>
        <w:spacing w:before="0" w:beforeLines="0" w:after="0" w:afterLines="0" w:line="480" w:lineRule="auto"/>
        <w:ind w:left="0" w:leftChars="0" w:firstLine="562" w:firstLineChars="200"/>
        <w:jc w:val="left"/>
        <w:textAlignment w:val="auto"/>
        <w:rPr>
          <w:rFonts w:hint="eastAsia" w:ascii="宋体" w:hAnsi="宋体" w:eastAsia="宋体" w:cs="宋体"/>
          <w:b w:val="0"/>
          <w:bCs/>
          <w:color w:val="auto"/>
          <w:sz w:val="24"/>
        </w:rPr>
      </w:pPr>
      <w:r>
        <w:rPr>
          <w:rFonts w:hint="eastAsia" w:ascii="宋体" w:hAnsi="宋体" w:eastAsia="宋体" w:cs="宋体"/>
          <w:b/>
          <w:bCs w:val="0"/>
          <w:color w:val="auto"/>
          <w:sz w:val="28"/>
          <w:szCs w:val="28"/>
          <w:lang w:val="en-US" w:eastAsia="zh-CN"/>
        </w:rPr>
        <w:t>注：1、其他合同专用条款在签订合同时另行约定</w:t>
      </w:r>
      <w:r>
        <w:rPr>
          <w:rFonts w:hint="eastAsia" w:ascii="宋体" w:hAnsi="宋体" w:cs="宋体"/>
          <w:b/>
          <w:bCs w:val="0"/>
          <w:color w:val="auto"/>
          <w:sz w:val="28"/>
          <w:szCs w:val="28"/>
          <w:lang w:val="en-US" w:eastAsia="zh-CN"/>
        </w:rPr>
        <w:t>；</w:t>
      </w:r>
    </w:p>
    <w:p w14:paraId="17A1150B">
      <w:pPr>
        <w:pStyle w:val="18"/>
        <w:keepNext w:val="0"/>
        <w:keepLines w:val="0"/>
        <w:pageBreakBefore w:val="0"/>
        <w:widowControl w:val="0"/>
        <w:kinsoku/>
        <w:wordWrap/>
        <w:overflowPunct/>
        <w:topLinePunct w:val="0"/>
        <w:autoSpaceDE/>
        <w:autoSpaceDN/>
        <w:bidi w:val="0"/>
        <w:adjustRightInd/>
        <w:snapToGrid/>
        <w:spacing w:before="0" w:beforeLines="0" w:after="0" w:afterLines="0" w:line="480" w:lineRule="auto"/>
        <w:ind w:left="0" w:leftChars="0" w:firstLine="562" w:firstLineChars="200"/>
        <w:textAlignment w:val="auto"/>
        <w:rPr>
          <w:rFonts w:hint="eastAsia"/>
        </w:rPr>
      </w:pPr>
      <w:r>
        <w:rPr>
          <w:rFonts w:hint="eastAsia" w:ascii="宋体" w:hAnsi="宋体" w:eastAsia="宋体" w:cs="宋体"/>
          <w:b/>
          <w:bCs w:val="0"/>
          <w:color w:val="auto"/>
          <w:sz w:val="28"/>
          <w:szCs w:val="28"/>
          <w:lang w:val="en-US" w:eastAsia="zh-CN"/>
        </w:rPr>
        <w:t>2、采购人应当自中标</w:t>
      </w:r>
      <w:r>
        <w:rPr>
          <w:rFonts w:hint="eastAsia" w:ascii="宋体" w:hAnsi="宋体" w:cs="宋体"/>
          <w:b/>
          <w:bCs w:val="0"/>
          <w:color w:val="auto"/>
          <w:sz w:val="28"/>
          <w:szCs w:val="28"/>
          <w:lang w:val="en-US" w:eastAsia="zh-CN"/>
        </w:rPr>
        <w:t>（成交）</w:t>
      </w:r>
      <w:r>
        <w:rPr>
          <w:rFonts w:hint="eastAsia" w:ascii="宋体" w:hAnsi="宋体" w:eastAsia="宋体" w:cs="宋体"/>
          <w:b/>
          <w:bCs w:val="0"/>
          <w:color w:val="auto"/>
          <w:sz w:val="28"/>
          <w:szCs w:val="28"/>
          <w:lang w:val="en-US" w:eastAsia="zh-CN"/>
        </w:rPr>
        <w:t>通知书发出之日起 25日内与中标</w:t>
      </w:r>
      <w:r>
        <w:rPr>
          <w:rFonts w:hint="eastAsia" w:ascii="宋体" w:hAnsi="宋体" w:cs="宋体"/>
          <w:b/>
          <w:bCs w:val="0"/>
          <w:color w:val="auto"/>
          <w:sz w:val="28"/>
          <w:szCs w:val="28"/>
          <w:lang w:val="en-US" w:eastAsia="zh-CN"/>
        </w:rPr>
        <w:t>（成交）</w:t>
      </w:r>
      <w:r>
        <w:rPr>
          <w:rFonts w:hint="eastAsia" w:ascii="宋体" w:hAnsi="宋体" w:eastAsia="宋体" w:cs="宋体"/>
          <w:b/>
          <w:bCs w:val="0"/>
          <w:color w:val="auto"/>
          <w:sz w:val="28"/>
          <w:szCs w:val="28"/>
          <w:lang w:val="en-US" w:eastAsia="zh-CN"/>
        </w:rPr>
        <w:t>供应商签订合同，且在合同签订后2个工作日内将此合同在陕西省政府采购网进行公示。</w:t>
      </w:r>
    </w:p>
    <w:bookmarkEnd w:id="2"/>
    <w:p w14:paraId="3C10A86F">
      <w:pPr>
        <w:pageBreakBefore w:val="0"/>
        <w:numPr>
          <w:ilvl w:val="0"/>
          <w:numId w:val="0"/>
        </w:numPr>
        <w:kinsoku/>
        <w:wordWrap/>
        <w:bidi w:val="0"/>
        <w:spacing w:line="500" w:lineRule="exact"/>
        <w:jc w:val="both"/>
        <w:outlineLvl w:val="0"/>
        <w:rPr>
          <w:rFonts w:hint="eastAsia" w:ascii="宋体" w:hAnsi="宋体" w:eastAsia="宋体" w:cs="宋体"/>
          <w:b/>
          <w:bCs w:val="0"/>
          <w:kern w:val="44"/>
          <w:sz w:val="44"/>
          <w:szCs w:val="44"/>
          <w:lang w:val="en-US" w:eastAsia="zh-CN" w:bidi="ar-SA"/>
        </w:rPr>
      </w:pPr>
    </w:p>
    <w:p w14:paraId="6327B830">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2EA4390E">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7DC4B1AC">
      <w:pPr>
        <w:spacing w:line="440" w:lineRule="exact"/>
        <w:ind w:left="0" w:leftChars="0" w:firstLine="0" w:firstLineChars="0"/>
        <w:outlineLvl w:val="9"/>
        <w:rPr>
          <w:rFonts w:hint="eastAsia" w:ascii="宋体" w:hAnsi="宋体" w:eastAsia="宋体" w:cs="宋体"/>
          <w:b w:val="0"/>
          <w:bCs/>
          <w:color w:val="auto"/>
          <w:sz w:val="24"/>
        </w:rPr>
      </w:pPr>
    </w:p>
    <w:p w14:paraId="15FAB6FF">
      <w:pPr>
        <w:spacing w:line="440" w:lineRule="exact"/>
        <w:ind w:left="0" w:leftChars="0" w:firstLine="0" w:firstLineChars="0"/>
        <w:outlineLvl w:val="9"/>
        <w:rPr>
          <w:rFonts w:hint="eastAsia" w:ascii="宋体" w:hAnsi="宋体" w:eastAsia="宋体" w:cs="宋体"/>
          <w:b w:val="0"/>
          <w:bCs/>
          <w:color w:val="auto"/>
          <w:sz w:val="24"/>
        </w:rPr>
      </w:pPr>
    </w:p>
    <w:p w14:paraId="5DF58E79">
      <w:pPr>
        <w:spacing w:line="440" w:lineRule="exact"/>
        <w:ind w:left="0" w:leftChars="0" w:firstLine="0" w:firstLineChars="0"/>
        <w:outlineLvl w:val="9"/>
        <w:rPr>
          <w:rFonts w:hint="eastAsia" w:ascii="宋体" w:hAnsi="宋体" w:eastAsia="宋体" w:cs="宋体"/>
          <w:b w:val="0"/>
          <w:bCs/>
          <w:color w:val="auto"/>
          <w:sz w:val="24"/>
        </w:rPr>
      </w:pPr>
    </w:p>
    <w:p w14:paraId="0902B35D">
      <w:pPr>
        <w:spacing w:line="440" w:lineRule="exact"/>
        <w:ind w:left="0" w:leftChars="0" w:firstLine="0" w:firstLineChars="0"/>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附件1：</w:t>
      </w:r>
    </w:p>
    <w:p w14:paraId="6AB88F82">
      <w:pPr>
        <w:spacing w:before="156" w:beforeLines="50" w:after="156" w:afterLines="50" w:line="440" w:lineRule="exact"/>
        <w:jc w:val="center"/>
        <w:outlineLvl w:val="9"/>
        <w:rPr>
          <w:rFonts w:hint="eastAsia" w:ascii="宋体" w:hAnsi="宋体" w:eastAsia="宋体" w:cs="宋体"/>
          <w:b w:val="0"/>
          <w:bCs/>
          <w:color w:val="auto"/>
          <w:sz w:val="24"/>
        </w:rPr>
      </w:pPr>
      <w:r>
        <w:rPr>
          <w:rFonts w:hint="eastAsia" w:ascii="宋体" w:hAnsi="宋体" w:eastAsia="宋体" w:cs="宋体"/>
          <w:b w:val="0"/>
          <w:bCs/>
          <w:color w:val="auto"/>
          <w:sz w:val="24"/>
        </w:rPr>
        <w:t>发包人供应材料设备一览表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180"/>
        <w:gridCol w:w="1100"/>
        <w:gridCol w:w="825"/>
        <w:gridCol w:w="650"/>
        <w:gridCol w:w="1138"/>
        <w:gridCol w:w="912"/>
        <w:gridCol w:w="663"/>
        <w:gridCol w:w="935"/>
        <w:gridCol w:w="851"/>
      </w:tblGrid>
      <w:tr w14:paraId="63B3FD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40952E8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序号</w:t>
            </w:r>
          </w:p>
        </w:tc>
        <w:tc>
          <w:tcPr>
            <w:tcW w:w="1180" w:type="dxa"/>
            <w:tcBorders>
              <w:top w:val="single" w:color="auto" w:sz="12" w:space="0"/>
              <w:bottom w:val="double" w:color="auto" w:sz="6" w:space="0"/>
            </w:tcBorders>
            <w:noWrap w:val="0"/>
            <w:vAlign w:val="center"/>
          </w:tcPr>
          <w:p w14:paraId="5BF472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材料、</w:t>
            </w:r>
          </w:p>
          <w:p w14:paraId="15657F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设备品种</w:t>
            </w:r>
          </w:p>
        </w:tc>
        <w:tc>
          <w:tcPr>
            <w:tcW w:w="1100" w:type="dxa"/>
            <w:tcBorders>
              <w:top w:val="single" w:color="auto" w:sz="12" w:space="0"/>
              <w:bottom w:val="double" w:color="auto" w:sz="6" w:space="0"/>
            </w:tcBorders>
            <w:noWrap w:val="0"/>
            <w:vAlign w:val="center"/>
          </w:tcPr>
          <w:p w14:paraId="25952CB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规格型号</w:t>
            </w:r>
          </w:p>
        </w:tc>
        <w:tc>
          <w:tcPr>
            <w:tcW w:w="825" w:type="dxa"/>
            <w:tcBorders>
              <w:top w:val="single" w:color="auto" w:sz="12" w:space="0"/>
              <w:bottom w:val="double" w:color="auto" w:sz="6" w:space="0"/>
            </w:tcBorders>
            <w:noWrap w:val="0"/>
            <w:vAlign w:val="center"/>
          </w:tcPr>
          <w:p w14:paraId="59C009E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单位</w:t>
            </w:r>
          </w:p>
        </w:tc>
        <w:tc>
          <w:tcPr>
            <w:tcW w:w="650" w:type="dxa"/>
            <w:tcBorders>
              <w:top w:val="single" w:color="auto" w:sz="12" w:space="0"/>
              <w:bottom w:val="double" w:color="auto" w:sz="6" w:space="0"/>
            </w:tcBorders>
            <w:noWrap w:val="0"/>
            <w:vAlign w:val="center"/>
          </w:tcPr>
          <w:p w14:paraId="6620E9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数量</w:t>
            </w:r>
          </w:p>
        </w:tc>
        <w:tc>
          <w:tcPr>
            <w:tcW w:w="1138" w:type="dxa"/>
            <w:tcBorders>
              <w:top w:val="single" w:color="auto" w:sz="12" w:space="0"/>
              <w:bottom w:val="double" w:color="auto" w:sz="6" w:space="0"/>
            </w:tcBorders>
            <w:noWrap w:val="0"/>
            <w:vAlign w:val="center"/>
          </w:tcPr>
          <w:p w14:paraId="63729B5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lang w:val="en-US" w:eastAsia="zh-CN"/>
              </w:rPr>
              <w:t>单</w:t>
            </w:r>
            <w:r>
              <w:rPr>
                <w:rFonts w:hint="eastAsia" w:ascii="宋体" w:hAnsi="宋体" w:eastAsia="宋体" w:cs="宋体"/>
                <w:b w:val="0"/>
                <w:bCs/>
                <w:color w:val="auto"/>
                <w:kern w:val="2"/>
                <w:sz w:val="24"/>
                <w:szCs w:val="24"/>
              </w:rPr>
              <w:t>价（元）</w:t>
            </w:r>
          </w:p>
        </w:tc>
        <w:tc>
          <w:tcPr>
            <w:tcW w:w="912" w:type="dxa"/>
            <w:tcBorders>
              <w:top w:val="single" w:color="auto" w:sz="12" w:space="0"/>
              <w:bottom w:val="double" w:color="auto" w:sz="6" w:space="0"/>
            </w:tcBorders>
            <w:noWrap w:val="0"/>
            <w:vAlign w:val="center"/>
          </w:tcPr>
          <w:p w14:paraId="750132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质量</w:t>
            </w:r>
          </w:p>
          <w:p w14:paraId="7EECB9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等级</w:t>
            </w:r>
          </w:p>
        </w:tc>
        <w:tc>
          <w:tcPr>
            <w:tcW w:w="663" w:type="dxa"/>
            <w:tcBorders>
              <w:top w:val="single" w:color="auto" w:sz="12" w:space="0"/>
              <w:bottom w:val="double" w:color="auto" w:sz="6" w:space="0"/>
            </w:tcBorders>
            <w:noWrap w:val="0"/>
            <w:vAlign w:val="center"/>
          </w:tcPr>
          <w:p w14:paraId="179FF3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供应时间</w:t>
            </w:r>
          </w:p>
        </w:tc>
        <w:tc>
          <w:tcPr>
            <w:tcW w:w="935" w:type="dxa"/>
            <w:tcBorders>
              <w:top w:val="single" w:color="auto" w:sz="12" w:space="0"/>
              <w:bottom w:val="double" w:color="auto" w:sz="6" w:space="0"/>
            </w:tcBorders>
            <w:noWrap w:val="0"/>
            <w:vAlign w:val="center"/>
          </w:tcPr>
          <w:p w14:paraId="29581AA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送达</w:t>
            </w:r>
          </w:p>
          <w:p w14:paraId="174AF1B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地点</w:t>
            </w:r>
          </w:p>
        </w:tc>
        <w:tc>
          <w:tcPr>
            <w:tcW w:w="851" w:type="dxa"/>
            <w:tcBorders>
              <w:top w:val="single" w:color="auto" w:sz="12" w:space="0"/>
              <w:bottom w:val="double" w:color="auto" w:sz="6" w:space="0"/>
            </w:tcBorders>
            <w:noWrap w:val="0"/>
            <w:vAlign w:val="center"/>
          </w:tcPr>
          <w:p w14:paraId="3CA3A5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备注</w:t>
            </w:r>
          </w:p>
        </w:tc>
      </w:tr>
      <w:tr w14:paraId="65C2D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6AFB32D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tcBorders>
              <w:top w:val="double" w:color="auto" w:sz="6" w:space="0"/>
              <w:bottom w:val="single" w:color="auto" w:sz="6" w:space="0"/>
            </w:tcBorders>
            <w:noWrap w:val="0"/>
            <w:vAlign w:val="center"/>
          </w:tcPr>
          <w:p w14:paraId="4F7EC5D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tcBorders>
              <w:top w:val="double" w:color="auto" w:sz="6" w:space="0"/>
              <w:bottom w:val="single" w:color="auto" w:sz="6" w:space="0"/>
            </w:tcBorders>
            <w:noWrap w:val="0"/>
            <w:vAlign w:val="center"/>
          </w:tcPr>
          <w:p w14:paraId="594A987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tcBorders>
              <w:top w:val="double" w:color="auto" w:sz="6" w:space="0"/>
              <w:bottom w:val="single" w:color="auto" w:sz="6" w:space="0"/>
            </w:tcBorders>
            <w:noWrap w:val="0"/>
            <w:vAlign w:val="center"/>
          </w:tcPr>
          <w:p w14:paraId="7CE8733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tcBorders>
              <w:top w:val="double" w:color="auto" w:sz="6" w:space="0"/>
              <w:bottom w:val="single" w:color="auto" w:sz="6" w:space="0"/>
            </w:tcBorders>
            <w:noWrap w:val="0"/>
            <w:vAlign w:val="center"/>
          </w:tcPr>
          <w:p w14:paraId="3A72F1F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tcBorders>
              <w:top w:val="double" w:color="auto" w:sz="6" w:space="0"/>
              <w:bottom w:val="single" w:color="auto" w:sz="6" w:space="0"/>
            </w:tcBorders>
            <w:noWrap w:val="0"/>
            <w:vAlign w:val="center"/>
          </w:tcPr>
          <w:p w14:paraId="70FD07D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tcBorders>
              <w:top w:val="double" w:color="auto" w:sz="6" w:space="0"/>
              <w:bottom w:val="single" w:color="auto" w:sz="6" w:space="0"/>
            </w:tcBorders>
            <w:noWrap w:val="0"/>
            <w:vAlign w:val="center"/>
          </w:tcPr>
          <w:p w14:paraId="7E0262C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tcBorders>
              <w:top w:val="double" w:color="auto" w:sz="6" w:space="0"/>
              <w:bottom w:val="single" w:color="auto" w:sz="6" w:space="0"/>
            </w:tcBorders>
            <w:noWrap w:val="0"/>
            <w:vAlign w:val="center"/>
          </w:tcPr>
          <w:p w14:paraId="3A7648E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tcBorders>
              <w:top w:val="double" w:color="auto" w:sz="6" w:space="0"/>
              <w:bottom w:val="single" w:color="auto" w:sz="6" w:space="0"/>
            </w:tcBorders>
            <w:noWrap w:val="0"/>
            <w:vAlign w:val="center"/>
          </w:tcPr>
          <w:p w14:paraId="4CED4F0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tcBorders>
              <w:top w:val="double" w:color="auto" w:sz="6" w:space="0"/>
              <w:bottom w:val="single" w:color="auto" w:sz="6" w:space="0"/>
            </w:tcBorders>
            <w:noWrap w:val="0"/>
            <w:vAlign w:val="center"/>
          </w:tcPr>
          <w:p w14:paraId="6C5CD9AF">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601E5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3DB693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tcBorders>
              <w:top w:val="nil"/>
            </w:tcBorders>
            <w:noWrap w:val="0"/>
            <w:vAlign w:val="center"/>
          </w:tcPr>
          <w:p w14:paraId="2A40529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tcBorders>
              <w:top w:val="nil"/>
            </w:tcBorders>
            <w:noWrap w:val="0"/>
            <w:vAlign w:val="center"/>
          </w:tcPr>
          <w:p w14:paraId="721FFA6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tcBorders>
              <w:top w:val="nil"/>
            </w:tcBorders>
            <w:noWrap w:val="0"/>
            <w:vAlign w:val="center"/>
          </w:tcPr>
          <w:p w14:paraId="22851CC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tcBorders>
              <w:top w:val="nil"/>
            </w:tcBorders>
            <w:noWrap w:val="0"/>
            <w:vAlign w:val="center"/>
          </w:tcPr>
          <w:p w14:paraId="61226F5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tcBorders>
              <w:top w:val="nil"/>
            </w:tcBorders>
            <w:noWrap w:val="0"/>
            <w:vAlign w:val="center"/>
          </w:tcPr>
          <w:p w14:paraId="491838F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tcBorders>
              <w:top w:val="nil"/>
            </w:tcBorders>
            <w:noWrap w:val="0"/>
            <w:vAlign w:val="center"/>
          </w:tcPr>
          <w:p w14:paraId="2969820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tcBorders>
              <w:top w:val="nil"/>
            </w:tcBorders>
            <w:noWrap w:val="0"/>
            <w:vAlign w:val="center"/>
          </w:tcPr>
          <w:p w14:paraId="132108C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tcBorders>
              <w:top w:val="nil"/>
            </w:tcBorders>
            <w:noWrap w:val="0"/>
            <w:vAlign w:val="center"/>
          </w:tcPr>
          <w:p w14:paraId="3F638A1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tcBorders>
              <w:top w:val="nil"/>
            </w:tcBorders>
            <w:noWrap w:val="0"/>
            <w:vAlign w:val="center"/>
          </w:tcPr>
          <w:p w14:paraId="60D40431">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4E7890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BE3532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53F3DD7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02219F3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29D1BFE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5F0C61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530CD35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5653832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75906E5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16F19C1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370F2D3">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A87E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869BC8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1CADF11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224974A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2FEFD78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7CF997B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719D4F9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0595C9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4788D3D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386E3AA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1FFA325D">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77B3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D2417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7EEE0B4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213C883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3FED1C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42DF225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7DCD781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51C846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0C6B6D3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59D480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76EAB72">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7844CA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A5BC4C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3AA66C0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6617655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3ED769E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3460000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548BF48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E24711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1B16FF2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6DC34C4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370C5744">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50C6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335B3E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7CA808F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45FB581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63B95E9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7745D61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4DD4682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386468F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1983FC6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5046AF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1CB5CD2">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BA18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ED914C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5C11552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795B8F9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669C018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4ED5DD9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35BEFE4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1E175B1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584583C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46914D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157510D7">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0D9125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31C258">
            <w:pPr>
              <w:jc w:val="center"/>
              <w:outlineLvl w:val="9"/>
              <w:rPr>
                <w:rFonts w:hint="eastAsia" w:ascii="宋体" w:hAnsi="宋体" w:eastAsia="宋体" w:cs="宋体"/>
                <w:b w:val="0"/>
                <w:bCs/>
                <w:color w:val="auto"/>
                <w:sz w:val="24"/>
                <w:szCs w:val="24"/>
              </w:rPr>
            </w:pPr>
          </w:p>
        </w:tc>
        <w:tc>
          <w:tcPr>
            <w:tcW w:w="1180" w:type="dxa"/>
            <w:noWrap w:val="0"/>
            <w:vAlign w:val="center"/>
          </w:tcPr>
          <w:p w14:paraId="16E8A8B9">
            <w:pPr>
              <w:jc w:val="center"/>
              <w:outlineLvl w:val="9"/>
              <w:rPr>
                <w:rFonts w:hint="eastAsia" w:ascii="宋体" w:hAnsi="宋体" w:eastAsia="宋体" w:cs="宋体"/>
                <w:b w:val="0"/>
                <w:bCs/>
                <w:color w:val="auto"/>
                <w:sz w:val="24"/>
                <w:szCs w:val="24"/>
              </w:rPr>
            </w:pPr>
          </w:p>
        </w:tc>
        <w:tc>
          <w:tcPr>
            <w:tcW w:w="1100" w:type="dxa"/>
            <w:noWrap w:val="0"/>
            <w:vAlign w:val="center"/>
          </w:tcPr>
          <w:p w14:paraId="4819F4E5">
            <w:pPr>
              <w:jc w:val="center"/>
              <w:outlineLvl w:val="9"/>
              <w:rPr>
                <w:rFonts w:hint="eastAsia" w:ascii="宋体" w:hAnsi="宋体" w:eastAsia="宋体" w:cs="宋体"/>
                <w:b w:val="0"/>
                <w:bCs/>
                <w:color w:val="auto"/>
                <w:sz w:val="24"/>
                <w:szCs w:val="24"/>
              </w:rPr>
            </w:pPr>
          </w:p>
        </w:tc>
        <w:tc>
          <w:tcPr>
            <w:tcW w:w="825" w:type="dxa"/>
            <w:noWrap w:val="0"/>
            <w:vAlign w:val="center"/>
          </w:tcPr>
          <w:p w14:paraId="7C795702">
            <w:pPr>
              <w:jc w:val="center"/>
              <w:outlineLvl w:val="9"/>
              <w:rPr>
                <w:rFonts w:hint="eastAsia" w:ascii="宋体" w:hAnsi="宋体" w:eastAsia="宋体" w:cs="宋体"/>
                <w:b w:val="0"/>
                <w:bCs/>
                <w:color w:val="auto"/>
                <w:sz w:val="24"/>
                <w:szCs w:val="24"/>
              </w:rPr>
            </w:pPr>
          </w:p>
        </w:tc>
        <w:tc>
          <w:tcPr>
            <w:tcW w:w="650" w:type="dxa"/>
            <w:noWrap w:val="0"/>
            <w:vAlign w:val="center"/>
          </w:tcPr>
          <w:p w14:paraId="6CB4D3B3">
            <w:pPr>
              <w:jc w:val="center"/>
              <w:outlineLvl w:val="9"/>
              <w:rPr>
                <w:rFonts w:hint="eastAsia" w:ascii="宋体" w:hAnsi="宋体" w:eastAsia="宋体" w:cs="宋体"/>
                <w:b w:val="0"/>
                <w:bCs/>
                <w:color w:val="auto"/>
                <w:sz w:val="24"/>
                <w:szCs w:val="24"/>
              </w:rPr>
            </w:pPr>
          </w:p>
        </w:tc>
        <w:tc>
          <w:tcPr>
            <w:tcW w:w="1138" w:type="dxa"/>
            <w:noWrap w:val="0"/>
            <w:vAlign w:val="center"/>
          </w:tcPr>
          <w:p w14:paraId="23D5EC88">
            <w:pPr>
              <w:jc w:val="center"/>
              <w:outlineLvl w:val="9"/>
              <w:rPr>
                <w:rFonts w:hint="eastAsia" w:ascii="宋体" w:hAnsi="宋体" w:eastAsia="宋体" w:cs="宋体"/>
                <w:b w:val="0"/>
                <w:bCs/>
                <w:color w:val="auto"/>
                <w:sz w:val="24"/>
                <w:szCs w:val="24"/>
              </w:rPr>
            </w:pPr>
          </w:p>
        </w:tc>
        <w:tc>
          <w:tcPr>
            <w:tcW w:w="912" w:type="dxa"/>
            <w:noWrap w:val="0"/>
            <w:vAlign w:val="center"/>
          </w:tcPr>
          <w:p w14:paraId="14D37297">
            <w:pPr>
              <w:jc w:val="center"/>
              <w:outlineLvl w:val="9"/>
              <w:rPr>
                <w:rFonts w:hint="eastAsia" w:ascii="宋体" w:hAnsi="宋体" w:eastAsia="宋体" w:cs="宋体"/>
                <w:b w:val="0"/>
                <w:bCs/>
                <w:color w:val="auto"/>
                <w:sz w:val="24"/>
                <w:szCs w:val="24"/>
              </w:rPr>
            </w:pPr>
          </w:p>
        </w:tc>
        <w:tc>
          <w:tcPr>
            <w:tcW w:w="663" w:type="dxa"/>
            <w:noWrap w:val="0"/>
            <w:vAlign w:val="center"/>
          </w:tcPr>
          <w:p w14:paraId="7620D3D8">
            <w:pPr>
              <w:jc w:val="center"/>
              <w:outlineLvl w:val="9"/>
              <w:rPr>
                <w:rFonts w:hint="eastAsia" w:ascii="宋体" w:hAnsi="宋体" w:eastAsia="宋体" w:cs="宋体"/>
                <w:b w:val="0"/>
                <w:bCs/>
                <w:color w:val="auto"/>
                <w:sz w:val="24"/>
                <w:szCs w:val="24"/>
              </w:rPr>
            </w:pPr>
          </w:p>
        </w:tc>
        <w:tc>
          <w:tcPr>
            <w:tcW w:w="935" w:type="dxa"/>
            <w:noWrap w:val="0"/>
            <w:vAlign w:val="center"/>
          </w:tcPr>
          <w:p w14:paraId="1DA14063">
            <w:pPr>
              <w:jc w:val="center"/>
              <w:outlineLvl w:val="9"/>
              <w:rPr>
                <w:rFonts w:hint="eastAsia" w:ascii="宋体" w:hAnsi="宋体" w:eastAsia="宋体" w:cs="宋体"/>
                <w:b w:val="0"/>
                <w:bCs/>
                <w:color w:val="auto"/>
                <w:sz w:val="24"/>
                <w:szCs w:val="24"/>
              </w:rPr>
            </w:pPr>
          </w:p>
        </w:tc>
        <w:tc>
          <w:tcPr>
            <w:tcW w:w="851" w:type="dxa"/>
            <w:noWrap w:val="0"/>
            <w:vAlign w:val="center"/>
          </w:tcPr>
          <w:p w14:paraId="558D85F1">
            <w:pPr>
              <w:jc w:val="center"/>
              <w:outlineLvl w:val="9"/>
              <w:rPr>
                <w:rFonts w:hint="eastAsia" w:ascii="宋体" w:hAnsi="宋体" w:eastAsia="宋体" w:cs="宋体"/>
                <w:b w:val="0"/>
                <w:bCs/>
                <w:color w:val="auto"/>
                <w:sz w:val="24"/>
                <w:szCs w:val="24"/>
              </w:rPr>
            </w:pPr>
          </w:p>
        </w:tc>
      </w:tr>
      <w:tr w14:paraId="532C2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FCC06B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46A7EA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472037C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7BCA077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1ED3C92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2F4E9D1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5D690F0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7989945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1C6F6D5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04329FE0">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34D0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93E32B">
            <w:pPr>
              <w:jc w:val="center"/>
              <w:outlineLvl w:val="9"/>
              <w:rPr>
                <w:rFonts w:hint="eastAsia" w:ascii="宋体" w:hAnsi="宋体" w:eastAsia="宋体" w:cs="宋体"/>
                <w:b w:val="0"/>
                <w:bCs/>
                <w:color w:val="auto"/>
                <w:sz w:val="24"/>
                <w:szCs w:val="24"/>
              </w:rPr>
            </w:pPr>
          </w:p>
        </w:tc>
        <w:tc>
          <w:tcPr>
            <w:tcW w:w="1180" w:type="dxa"/>
            <w:noWrap w:val="0"/>
            <w:vAlign w:val="center"/>
          </w:tcPr>
          <w:p w14:paraId="39E9BEBA">
            <w:pPr>
              <w:jc w:val="center"/>
              <w:outlineLvl w:val="9"/>
              <w:rPr>
                <w:rFonts w:hint="eastAsia" w:ascii="宋体" w:hAnsi="宋体" w:eastAsia="宋体" w:cs="宋体"/>
                <w:b w:val="0"/>
                <w:bCs/>
                <w:color w:val="auto"/>
                <w:sz w:val="24"/>
                <w:szCs w:val="24"/>
              </w:rPr>
            </w:pPr>
          </w:p>
        </w:tc>
        <w:tc>
          <w:tcPr>
            <w:tcW w:w="1100" w:type="dxa"/>
            <w:noWrap w:val="0"/>
            <w:vAlign w:val="center"/>
          </w:tcPr>
          <w:p w14:paraId="293D7681">
            <w:pPr>
              <w:jc w:val="center"/>
              <w:outlineLvl w:val="9"/>
              <w:rPr>
                <w:rFonts w:hint="eastAsia" w:ascii="宋体" w:hAnsi="宋体" w:eastAsia="宋体" w:cs="宋体"/>
                <w:b w:val="0"/>
                <w:bCs/>
                <w:color w:val="auto"/>
                <w:sz w:val="24"/>
                <w:szCs w:val="24"/>
              </w:rPr>
            </w:pPr>
          </w:p>
        </w:tc>
        <w:tc>
          <w:tcPr>
            <w:tcW w:w="825" w:type="dxa"/>
            <w:noWrap w:val="0"/>
            <w:vAlign w:val="center"/>
          </w:tcPr>
          <w:p w14:paraId="0613B68A">
            <w:pPr>
              <w:jc w:val="center"/>
              <w:outlineLvl w:val="9"/>
              <w:rPr>
                <w:rFonts w:hint="eastAsia" w:ascii="宋体" w:hAnsi="宋体" w:eastAsia="宋体" w:cs="宋体"/>
                <w:b w:val="0"/>
                <w:bCs/>
                <w:color w:val="auto"/>
                <w:sz w:val="24"/>
                <w:szCs w:val="24"/>
              </w:rPr>
            </w:pPr>
          </w:p>
        </w:tc>
        <w:tc>
          <w:tcPr>
            <w:tcW w:w="650" w:type="dxa"/>
            <w:noWrap w:val="0"/>
            <w:vAlign w:val="center"/>
          </w:tcPr>
          <w:p w14:paraId="67861CCB">
            <w:pPr>
              <w:jc w:val="center"/>
              <w:outlineLvl w:val="9"/>
              <w:rPr>
                <w:rFonts w:hint="eastAsia" w:ascii="宋体" w:hAnsi="宋体" w:eastAsia="宋体" w:cs="宋体"/>
                <w:b w:val="0"/>
                <w:bCs/>
                <w:color w:val="auto"/>
                <w:sz w:val="24"/>
                <w:szCs w:val="24"/>
              </w:rPr>
            </w:pPr>
          </w:p>
        </w:tc>
        <w:tc>
          <w:tcPr>
            <w:tcW w:w="1138" w:type="dxa"/>
            <w:noWrap w:val="0"/>
            <w:vAlign w:val="center"/>
          </w:tcPr>
          <w:p w14:paraId="464603DA">
            <w:pPr>
              <w:jc w:val="center"/>
              <w:outlineLvl w:val="9"/>
              <w:rPr>
                <w:rFonts w:hint="eastAsia" w:ascii="宋体" w:hAnsi="宋体" w:eastAsia="宋体" w:cs="宋体"/>
                <w:b w:val="0"/>
                <w:bCs/>
                <w:color w:val="auto"/>
                <w:sz w:val="24"/>
                <w:szCs w:val="24"/>
              </w:rPr>
            </w:pPr>
          </w:p>
        </w:tc>
        <w:tc>
          <w:tcPr>
            <w:tcW w:w="912" w:type="dxa"/>
            <w:noWrap w:val="0"/>
            <w:vAlign w:val="center"/>
          </w:tcPr>
          <w:p w14:paraId="08ACEBE7">
            <w:pPr>
              <w:jc w:val="center"/>
              <w:outlineLvl w:val="9"/>
              <w:rPr>
                <w:rFonts w:hint="eastAsia" w:ascii="宋体" w:hAnsi="宋体" w:eastAsia="宋体" w:cs="宋体"/>
                <w:b w:val="0"/>
                <w:bCs/>
                <w:color w:val="auto"/>
                <w:sz w:val="24"/>
                <w:szCs w:val="24"/>
              </w:rPr>
            </w:pPr>
          </w:p>
        </w:tc>
        <w:tc>
          <w:tcPr>
            <w:tcW w:w="663" w:type="dxa"/>
            <w:noWrap w:val="0"/>
            <w:vAlign w:val="center"/>
          </w:tcPr>
          <w:p w14:paraId="4BEBEFAF">
            <w:pPr>
              <w:jc w:val="center"/>
              <w:outlineLvl w:val="9"/>
              <w:rPr>
                <w:rFonts w:hint="eastAsia" w:ascii="宋体" w:hAnsi="宋体" w:eastAsia="宋体" w:cs="宋体"/>
                <w:b w:val="0"/>
                <w:bCs/>
                <w:color w:val="auto"/>
                <w:sz w:val="24"/>
                <w:szCs w:val="24"/>
              </w:rPr>
            </w:pPr>
          </w:p>
        </w:tc>
        <w:tc>
          <w:tcPr>
            <w:tcW w:w="935" w:type="dxa"/>
            <w:noWrap w:val="0"/>
            <w:vAlign w:val="center"/>
          </w:tcPr>
          <w:p w14:paraId="1914B337">
            <w:pPr>
              <w:jc w:val="center"/>
              <w:outlineLvl w:val="9"/>
              <w:rPr>
                <w:rFonts w:hint="eastAsia" w:ascii="宋体" w:hAnsi="宋体" w:eastAsia="宋体" w:cs="宋体"/>
                <w:b w:val="0"/>
                <w:bCs/>
                <w:color w:val="auto"/>
                <w:sz w:val="24"/>
                <w:szCs w:val="24"/>
              </w:rPr>
            </w:pPr>
          </w:p>
        </w:tc>
        <w:tc>
          <w:tcPr>
            <w:tcW w:w="851" w:type="dxa"/>
            <w:noWrap w:val="0"/>
            <w:vAlign w:val="center"/>
          </w:tcPr>
          <w:p w14:paraId="4C087172">
            <w:pPr>
              <w:jc w:val="center"/>
              <w:outlineLvl w:val="9"/>
              <w:rPr>
                <w:rFonts w:hint="eastAsia" w:ascii="宋体" w:hAnsi="宋体" w:eastAsia="宋体" w:cs="宋体"/>
                <w:b w:val="0"/>
                <w:bCs/>
                <w:color w:val="auto"/>
                <w:sz w:val="24"/>
                <w:szCs w:val="24"/>
              </w:rPr>
            </w:pPr>
          </w:p>
        </w:tc>
      </w:tr>
      <w:tr w14:paraId="3E30A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4BE6DB4">
            <w:pPr>
              <w:jc w:val="center"/>
              <w:outlineLvl w:val="9"/>
              <w:rPr>
                <w:rFonts w:hint="eastAsia" w:ascii="宋体" w:hAnsi="宋体" w:eastAsia="宋体" w:cs="宋体"/>
                <w:b w:val="0"/>
                <w:bCs/>
                <w:color w:val="auto"/>
                <w:sz w:val="24"/>
                <w:szCs w:val="24"/>
              </w:rPr>
            </w:pPr>
          </w:p>
        </w:tc>
        <w:tc>
          <w:tcPr>
            <w:tcW w:w="1180" w:type="dxa"/>
            <w:noWrap w:val="0"/>
            <w:vAlign w:val="center"/>
          </w:tcPr>
          <w:p w14:paraId="5DAAF965">
            <w:pPr>
              <w:jc w:val="center"/>
              <w:outlineLvl w:val="9"/>
              <w:rPr>
                <w:rFonts w:hint="eastAsia" w:ascii="宋体" w:hAnsi="宋体" w:eastAsia="宋体" w:cs="宋体"/>
                <w:b w:val="0"/>
                <w:bCs/>
                <w:color w:val="auto"/>
                <w:sz w:val="24"/>
                <w:szCs w:val="24"/>
              </w:rPr>
            </w:pPr>
          </w:p>
        </w:tc>
        <w:tc>
          <w:tcPr>
            <w:tcW w:w="1100" w:type="dxa"/>
            <w:noWrap w:val="0"/>
            <w:vAlign w:val="center"/>
          </w:tcPr>
          <w:p w14:paraId="04FACB08">
            <w:pPr>
              <w:jc w:val="center"/>
              <w:outlineLvl w:val="9"/>
              <w:rPr>
                <w:rFonts w:hint="eastAsia" w:ascii="宋体" w:hAnsi="宋体" w:eastAsia="宋体" w:cs="宋体"/>
                <w:b w:val="0"/>
                <w:bCs/>
                <w:color w:val="auto"/>
                <w:sz w:val="24"/>
                <w:szCs w:val="24"/>
              </w:rPr>
            </w:pPr>
          </w:p>
        </w:tc>
        <w:tc>
          <w:tcPr>
            <w:tcW w:w="825" w:type="dxa"/>
            <w:noWrap w:val="0"/>
            <w:vAlign w:val="center"/>
          </w:tcPr>
          <w:p w14:paraId="1FC2D400">
            <w:pPr>
              <w:jc w:val="center"/>
              <w:outlineLvl w:val="9"/>
              <w:rPr>
                <w:rFonts w:hint="eastAsia" w:ascii="宋体" w:hAnsi="宋体" w:eastAsia="宋体" w:cs="宋体"/>
                <w:b w:val="0"/>
                <w:bCs/>
                <w:color w:val="auto"/>
                <w:sz w:val="24"/>
                <w:szCs w:val="24"/>
              </w:rPr>
            </w:pPr>
          </w:p>
        </w:tc>
        <w:tc>
          <w:tcPr>
            <w:tcW w:w="650" w:type="dxa"/>
            <w:noWrap w:val="0"/>
            <w:vAlign w:val="center"/>
          </w:tcPr>
          <w:p w14:paraId="6C3F14F8">
            <w:pPr>
              <w:jc w:val="center"/>
              <w:outlineLvl w:val="9"/>
              <w:rPr>
                <w:rFonts w:hint="eastAsia" w:ascii="宋体" w:hAnsi="宋体" w:eastAsia="宋体" w:cs="宋体"/>
                <w:b w:val="0"/>
                <w:bCs/>
                <w:color w:val="auto"/>
                <w:sz w:val="24"/>
                <w:szCs w:val="24"/>
              </w:rPr>
            </w:pPr>
          </w:p>
        </w:tc>
        <w:tc>
          <w:tcPr>
            <w:tcW w:w="1138" w:type="dxa"/>
            <w:noWrap w:val="0"/>
            <w:vAlign w:val="center"/>
          </w:tcPr>
          <w:p w14:paraId="1C53B675">
            <w:pPr>
              <w:jc w:val="center"/>
              <w:outlineLvl w:val="9"/>
              <w:rPr>
                <w:rFonts w:hint="eastAsia" w:ascii="宋体" w:hAnsi="宋体" w:eastAsia="宋体" w:cs="宋体"/>
                <w:b w:val="0"/>
                <w:bCs/>
                <w:color w:val="auto"/>
                <w:sz w:val="24"/>
                <w:szCs w:val="24"/>
              </w:rPr>
            </w:pPr>
          </w:p>
        </w:tc>
        <w:tc>
          <w:tcPr>
            <w:tcW w:w="912" w:type="dxa"/>
            <w:noWrap w:val="0"/>
            <w:vAlign w:val="center"/>
          </w:tcPr>
          <w:p w14:paraId="255435C8">
            <w:pPr>
              <w:jc w:val="center"/>
              <w:outlineLvl w:val="9"/>
              <w:rPr>
                <w:rFonts w:hint="eastAsia" w:ascii="宋体" w:hAnsi="宋体" w:eastAsia="宋体" w:cs="宋体"/>
                <w:b w:val="0"/>
                <w:bCs/>
                <w:color w:val="auto"/>
                <w:sz w:val="24"/>
                <w:szCs w:val="24"/>
              </w:rPr>
            </w:pPr>
          </w:p>
        </w:tc>
        <w:tc>
          <w:tcPr>
            <w:tcW w:w="663" w:type="dxa"/>
            <w:noWrap w:val="0"/>
            <w:vAlign w:val="center"/>
          </w:tcPr>
          <w:p w14:paraId="42C18BE1">
            <w:pPr>
              <w:jc w:val="center"/>
              <w:outlineLvl w:val="9"/>
              <w:rPr>
                <w:rFonts w:hint="eastAsia" w:ascii="宋体" w:hAnsi="宋体" w:eastAsia="宋体" w:cs="宋体"/>
                <w:b w:val="0"/>
                <w:bCs/>
                <w:color w:val="auto"/>
                <w:sz w:val="24"/>
                <w:szCs w:val="24"/>
              </w:rPr>
            </w:pPr>
          </w:p>
        </w:tc>
        <w:tc>
          <w:tcPr>
            <w:tcW w:w="935" w:type="dxa"/>
            <w:noWrap w:val="0"/>
            <w:vAlign w:val="center"/>
          </w:tcPr>
          <w:p w14:paraId="7B0958BE">
            <w:pPr>
              <w:jc w:val="center"/>
              <w:outlineLvl w:val="9"/>
              <w:rPr>
                <w:rFonts w:hint="eastAsia" w:ascii="宋体" w:hAnsi="宋体" w:eastAsia="宋体" w:cs="宋体"/>
                <w:b w:val="0"/>
                <w:bCs/>
                <w:color w:val="auto"/>
                <w:sz w:val="24"/>
                <w:szCs w:val="24"/>
              </w:rPr>
            </w:pPr>
          </w:p>
        </w:tc>
        <w:tc>
          <w:tcPr>
            <w:tcW w:w="851" w:type="dxa"/>
            <w:noWrap w:val="0"/>
            <w:vAlign w:val="center"/>
          </w:tcPr>
          <w:p w14:paraId="06DFA7B0">
            <w:pPr>
              <w:jc w:val="center"/>
              <w:outlineLvl w:val="9"/>
              <w:rPr>
                <w:rFonts w:hint="eastAsia" w:ascii="宋体" w:hAnsi="宋体" w:eastAsia="宋体" w:cs="宋体"/>
                <w:b w:val="0"/>
                <w:bCs/>
                <w:color w:val="auto"/>
                <w:sz w:val="24"/>
                <w:szCs w:val="24"/>
              </w:rPr>
            </w:pPr>
          </w:p>
        </w:tc>
      </w:tr>
      <w:tr w14:paraId="239D4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64B22AA">
            <w:pPr>
              <w:jc w:val="center"/>
              <w:outlineLvl w:val="9"/>
              <w:rPr>
                <w:rFonts w:hint="eastAsia" w:ascii="宋体" w:hAnsi="宋体" w:eastAsia="宋体" w:cs="宋体"/>
                <w:b w:val="0"/>
                <w:bCs/>
                <w:color w:val="auto"/>
                <w:sz w:val="24"/>
                <w:szCs w:val="24"/>
              </w:rPr>
            </w:pPr>
          </w:p>
        </w:tc>
        <w:tc>
          <w:tcPr>
            <w:tcW w:w="1180" w:type="dxa"/>
            <w:noWrap w:val="0"/>
            <w:vAlign w:val="center"/>
          </w:tcPr>
          <w:p w14:paraId="26E2228E">
            <w:pPr>
              <w:jc w:val="center"/>
              <w:outlineLvl w:val="9"/>
              <w:rPr>
                <w:rFonts w:hint="eastAsia" w:ascii="宋体" w:hAnsi="宋体" w:eastAsia="宋体" w:cs="宋体"/>
                <w:b w:val="0"/>
                <w:bCs/>
                <w:color w:val="auto"/>
                <w:sz w:val="24"/>
                <w:szCs w:val="24"/>
              </w:rPr>
            </w:pPr>
          </w:p>
        </w:tc>
        <w:tc>
          <w:tcPr>
            <w:tcW w:w="1100" w:type="dxa"/>
            <w:noWrap w:val="0"/>
            <w:vAlign w:val="center"/>
          </w:tcPr>
          <w:p w14:paraId="508F842A">
            <w:pPr>
              <w:jc w:val="center"/>
              <w:outlineLvl w:val="9"/>
              <w:rPr>
                <w:rFonts w:hint="eastAsia" w:ascii="宋体" w:hAnsi="宋体" w:eastAsia="宋体" w:cs="宋体"/>
                <w:b w:val="0"/>
                <w:bCs/>
                <w:color w:val="auto"/>
                <w:sz w:val="24"/>
                <w:szCs w:val="24"/>
              </w:rPr>
            </w:pPr>
          </w:p>
        </w:tc>
        <w:tc>
          <w:tcPr>
            <w:tcW w:w="825" w:type="dxa"/>
            <w:noWrap w:val="0"/>
            <w:vAlign w:val="center"/>
          </w:tcPr>
          <w:p w14:paraId="1AD7CC90">
            <w:pPr>
              <w:jc w:val="center"/>
              <w:outlineLvl w:val="9"/>
              <w:rPr>
                <w:rFonts w:hint="eastAsia" w:ascii="宋体" w:hAnsi="宋体" w:eastAsia="宋体" w:cs="宋体"/>
                <w:b w:val="0"/>
                <w:bCs/>
                <w:color w:val="auto"/>
                <w:sz w:val="24"/>
                <w:szCs w:val="24"/>
              </w:rPr>
            </w:pPr>
          </w:p>
        </w:tc>
        <w:tc>
          <w:tcPr>
            <w:tcW w:w="650" w:type="dxa"/>
            <w:noWrap w:val="0"/>
            <w:vAlign w:val="center"/>
          </w:tcPr>
          <w:p w14:paraId="0BE76018">
            <w:pPr>
              <w:jc w:val="center"/>
              <w:outlineLvl w:val="9"/>
              <w:rPr>
                <w:rFonts w:hint="eastAsia" w:ascii="宋体" w:hAnsi="宋体" w:eastAsia="宋体" w:cs="宋体"/>
                <w:b w:val="0"/>
                <w:bCs/>
                <w:color w:val="auto"/>
                <w:sz w:val="24"/>
                <w:szCs w:val="24"/>
              </w:rPr>
            </w:pPr>
          </w:p>
        </w:tc>
        <w:tc>
          <w:tcPr>
            <w:tcW w:w="1138" w:type="dxa"/>
            <w:noWrap w:val="0"/>
            <w:vAlign w:val="center"/>
          </w:tcPr>
          <w:p w14:paraId="45E9D985">
            <w:pPr>
              <w:jc w:val="center"/>
              <w:outlineLvl w:val="9"/>
              <w:rPr>
                <w:rFonts w:hint="eastAsia" w:ascii="宋体" w:hAnsi="宋体" w:eastAsia="宋体" w:cs="宋体"/>
                <w:b w:val="0"/>
                <w:bCs/>
                <w:color w:val="auto"/>
                <w:sz w:val="24"/>
                <w:szCs w:val="24"/>
              </w:rPr>
            </w:pPr>
          </w:p>
        </w:tc>
        <w:tc>
          <w:tcPr>
            <w:tcW w:w="912" w:type="dxa"/>
            <w:noWrap w:val="0"/>
            <w:vAlign w:val="center"/>
          </w:tcPr>
          <w:p w14:paraId="4CC8D59B">
            <w:pPr>
              <w:jc w:val="center"/>
              <w:outlineLvl w:val="9"/>
              <w:rPr>
                <w:rFonts w:hint="eastAsia" w:ascii="宋体" w:hAnsi="宋体" w:eastAsia="宋体" w:cs="宋体"/>
                <w:b w:val="0"/>
                <w:bCs/>
                <w:color w:val="auto"/>
                <w:sz w:val="24"/>
                <w:szCs w:val="24"/>
              </w:rPr>
            </w:pPr>
          </w:p>
        </w:tc>
        <w:tc>
          <w:tcPr>
            <w:tcW w:w="663" w:type="dxa"/>
            <w:noWrap w:val="0"/>
            <w:vAlign w:val="center"/>
          </w:tcPr>
          <w:p w14:paraId="0E6C7046">
            <w:pPr>
              <w:jc w:val="center"/>
              <w:outlineLvl w:val="9"/>
              <w:rPr>
                <w:rFonts w:hint="eastAsia" w:ascii="宋体" w:hAnsi="宋体" w:eastAsia="宋体" w:cs="宋体"/>
                <w:b w:val="0"/>
                <w:bCs/>
                <w:color w:val="auto"/>
                <w:sz w:val="24"/>
                <w:szCs w:val="24"/>
              </w:rPr>
            </w:pPr>
          </w:p>
        </w:tc>
        <w:tc>
          <w:tcPr>
            <w:tcW w:w="935" w:type="dxa"/>
            <w:noWrap w:val="0"/>
            <w:vAlign w:val="center"/>
          </w:tcPr>
          <w:p w14:paraId="3F6D9FD8">
            <w:pPr>
              <w:jc w:val="center"/>
              <w:outlineLvl w:val="9"/>
              <w:rPr>
                <w:rFonts w:hint="eastAsia" w:ascii="宋体" w:hAnsi="宋体" w:eastAsia="宋体" w:cs="宋体"/>
                <w:b w:val="0"/>
                <w:bCs/>
                <w:color w:val="auto"/>
                <w:sz w:val="24"/>
                <w:szCs w:val="24"/>
              </w:rPr>
            </w:pPr>
          </w:p>
        </w:tc>
        <w:tc>
          <w:tcPr>
            <w:tcW w:w="851" w:type="dxa"/>
            <w:noWrap w:val="0"/>
            <w:vAlign w:val="center"/>
          </w:tcPr>
          <w:p w14:paraId="5672917D">
            <w:pPr>
              <w:jc w:val="center"/>
              <w:outlineLvl w:val="9"/>
              <w:rPr>
                <w:rFonts w:hint="eastAsia" w:ascii="宋体" w:hAnsi="宋体" w:eastAsia="宋体" w:cs="宋体"/>
                <w:b w:val="0"/>
                <w:bCs/>
                <w:color w:val="auto"/>
                <w:sz w:val="24"/>
                <w:szCs w:val="24"/>
              </w:rPr>
            </w:pPr>
          </w:p>
        </w:tc>
      </w:tr>
      <w:tr w14:paraId="728BB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8955DD">
            <w:pPr>
              <w:jc w:val="center"/>
              <w:outlineLvl w:val="9"/>
              <w:rPr>
                <w:rFonts w:hint="eastAsia" w:ascii="宋体" w:hAnsi="宋体" w:eastAsia="宋体" w:cs="宋体"/>
                <w:b w:val="0"/>
                <w:bCs/>
                <w:color w:val="auto"/>
                <w:sz w:val="24"/>
                <w:szCs w:val="24"/>
              </w:rPr>
            </w:pPr>
          </w:p>
        </w:tc>
        <w:tc>
          <w:tcPr>
            <w:tcW w:w="1180" w:type="dxa"/>
            <w:noWrap w:val="0"/>
            <w:vAlign w:val="center"/>
          </w:tcPr>
          <w:p w14:paraId="7D5551FE">
            <w:pPr>
              <w:jc w:val="center"/>
              <w:outlineLvl w:val="9"/>
              <w:rPr>
                <w:rFonts w:hint="eastAsia" w:ascii="宋体" w:hAnsi="宋体" w:eastAsia="宋体" w:cs="宋体"/>
                <w:b w:val="0"/>
                <w:bCs/>
                <w:color w:val="auto"/>
                <w:sz w:val="24"/>
                <w:szCs w:val="24"/>
              </w:rPr>
            </w:pPr>
          </w:p>
        </w:tc>
        <w:tc>
          <w:tcPr>
            <w:tcW w:w="1100" w:type="dxa"/>
            <w:noWrap w:val="0"/>
            <w:vAlign w:val="center"/>
          </w:tcPr>
          <w:p w14:paraId="764753D6">
            <w:pPr>
              <w:jc w:val="center"/>
              <w:outlineLvl w:val="9"/>
              <w:rPr>
                <w:rFonts w:hint="eastAsia" w:ascii="宋体" w:hAnsi="宋体" w:eastAsia="宋体" w:cs="宋体"/>
                <w:b w:val="0"/>
                <w:bCs/>
                <w:color w:val="auto"/>
                <w:sz w:val="24"/>
                <w:szCs w:val="24"/>
              </w:rPr>
            </w:pPr>
          </w:p>
        </w:tc>
        <w:tc>
          <w:tcPr>
            <w:tcW w:w="825" w:type="dxa"/>
            <w:noWrap w:val="0"/>
            <w:vAlign w:val="center"/>
          </w:tcPr>
          <w:p w14:paraId="7B6F5340">
            <w:pPr>
              <w:jc w:val="center"/>
              <w:outlineLvl w:val="9"/>
              <w:rPr>
                <w:rFonts w:hint="eastAsia" w:ascii="宋体" w:hAnsi="宋体" w:eastAsia="宋体" w:cs="宋体"/>
                <w:b w:val="0"/>
                <w:bCs/>
                <w:color w:val="auto"/>
                <w:sz w:val="24"/>
                <w:szCs w:val="24"/>
              </w:rPr>
            </w:pPr>
          </w:p>
        </w:tc>
        <w:tc>
          <w:tcPr>
            <w:tcW w:w="650" w:type="dxa"/>
            <w:noWrap w:val="0"/>
            <w:vAlign w:val="center"/>
          </w:tcPr>
          <w:p w14:paraId="53176C2B">
            <w:pPr>
              <w:jc w:val="center"/>
              <w:outlineLvl w:val="9"/>
              <w:rPr>
                <w:rFonts w:hint="eastAsia" w:ascii="宋体" w:hAnsi="宋体" w:eastAsia="宋体" w:cs="宋体"/>
                <w:b w:val="0"/>
                <w:bCs/>
                <w:color w:val="auto"/>
                <w:sz w:val="24"/>
                <w:szCs w:val="24"/>
              </w:rPr>
            </w:pPr>
          </w:p>
        </w:tc>
        <w:tc>
          <w:tcPr>
            <w:tcW w:w="1138" w:type="dxa"/>
            <w:noWrap w:val="0"/>
            <w:vAlign w:val="center"/>
          </w:tcPr>
          <w:p w14:paraId="41927D1B">
            <w:pPr>
              <w:jc w:val="center"/>
              <w:outlineLvl w:val="9"/>
              <w:rPr>
                <w:rFonts w:hint="eastAsia" w:ascii="宋体" w:hAnsi="宋体" w:eastAsia="宋体" w:cs="宋体"/>
                <w:b w:val="0"/>
                <w:bCs/>
                <w:color w:val="auto"/>
                <w:sz w:val="24"/>
                <w:szCs w:val="24"/>
              </w:rPr>
            </w:pPr>
          </w:p>
        </w:tc>
        <w:tc>
          <w:tcPr>
            <w:tcW w:w="912" w:type="dxa"/>
            <w:noWrap w:val="0"/>
            <w:vAlign w:val="center"/>
          </w:tcPr>
          <w:p w14:paraId="1A021545">
            <w:pPr>
              <w:jc w:val="center"/>
              <w:outlineLvl w:val="9"/>
              <w:rPr>
                <w:rFonts w:hint="eastAsia" w:ascii="宋体" w:hAnsi="宋体" w:eastAsia="宋体" w:cs="宋体"/>
                <w:b w:val="0"/>
                <w:bCs/>
                <w:color w:val="auto"/>
                <w:sz w:val="24"/>
                <w:szCs w:val="24"/>
              </w:rPr>
            </w:pPr>
          </w:p>
        </w:tc>
        <w:tc>
          <w:tcPr>
            <w:tcW w:w="663" w:type="dxa"/>
            <w:noWrap w:val="0"/>
            <w:vAlign w:val="center"/>
          </w:tcPr>
          <w:p w14:paraId="07ACC370">
            <w:pPr>
              <w:jc w:val="center"/>
              <w:outlineLvl w:val="9"/>
              <w:rPr>
                <w:rFonts w:hint="eastAsia" w:ascii="宋体" w:hAnsi="宋体" w:eastAsia="宋体" w:cs="宋体"/>
                <w:b w:val="0"/>
                <w:bCs/>
                <w:color w:val="auto"/>
                <w:sz w:val="24"/>
                <w:szCs w:val="24"/>
              </w:rPr>
            </w:pPr>
          </w:p>
        </w:tc>
        <w:tc>
          <w:tcPr>
            <w:tcW w:w="935" w:type="dxa"/>
            <w:noWrap w:val="0"/>
            <w:vAlign w:val="center"/>
          </w:tcPr>
          <w:p w14:paraId="075AEF93">
            <w:pPr>
              <w:jc w:val="center"/>
              <w:outlineLvl w:val="9"/>
              <w:rPr>
                <w:rFonts w:hint="eastAsia" w:ascii="宋体" w:hAnsi="宋体" w:eastAsia="宋体" w:cs="宋体"/>
                <w:b w:val="0"/>
                <w:bCs/>
                <w:color w:val="auto"/>
                <w:sz w:val="24"/>
                <w:szCs w:val="24"/>
              </w:rPr>
            </w:pPr>
          </w:p>
        </w:tc>
        <w:tc>
          <w:tcPr>
            <w:tcW w:w="851" w:type="dxa"/>
            <w:noWrap w:val="0"/>
            <w:vAlign w:val="center"/>
          </w:tcPr>
          <w:p w14:paraId="7E4D49E8">
            <w:pPr>
              <w:jc w:val="center"/>
              <w:outlineLvl w:val="9"/>
              <w:rPr>
                <w:rFonts w:hint="eastAsia" w:ascii="宋体" w:hAnsi="宋体" w:eastAsia="宋体" w:cs="宋体"/>
                <w:b w:val="0"/>
                <w:bCs/>
                <w:color w:val="auto"/>
                <w:sz w:val="24"/>
                <w:szCs w:val="24"/>
              </w:rPr>
            </w:pPr>
          </w:p>
        </w:tc>
      </w:tr>
    </w:tbl>
    <w:p w14:paraId="10C80D85">
      <w:pPr>
        <w:spacing w:line="440" w:lineRule="exact"/>
        <w:outlineLvl w:val="9"/>
        <w:rPr>
          <w:rFonts w:hint="eastAsia" w:ascii="宋体" w:hAnsi="宋体" w:eastAsia="宋体" w:cs="宋体"/>
          <w:b w:val="0"/>
          <w:bCs/>
          <w:color w:val="auto"/>
          <w:sz w:val="24"/>
        </w:rPr>
      </w:pPr>
    </w:p>
    <w:p w14:paraId="15758485">
      <w:pPr>
        <w:spacing w:line="440" w:lineRule="exact"/>
        <w:outlineLvl w:val="9"/>
        <w:rPr>
          <w:rFonts w:ascii="宋体" w:hAnsi="宋体"/>
          <w:color w:val="auto"/>
          <w:sz w:val="24"/>
        </w:rPr>
      </w:pPr>
      <w:r>
        <w:rPr>
          <w:rFonts w:hint="eastAsia" w:ascii="宋体" w:hAnsi="宋体"/>
          <w:color w:val="auto"/>
          <w:sz w:val="24"/>
        </w:rPr>
        <w:t>附</w:t>
      </w:r>
      <w:bookmarkStart w:id="534" w:name="_Toc296944564"/>
      <w:bookmarkEnd w:id="534"/>
      <w:bookmarkStart w:id="535" w:name="_Toc296891265"/>
      <w:bookmarkEnd w:id="535"/>
      <w:bookmarkStart w:id="536" w:name="_Toc267261692"/>
      <w:bookmarkEnd w:id="536"/>
      <w:bookmarkStart w:id="537" w:name="_Toc296891053"/>
      <w:bookmarkEnd w:id="537"/>
      <w:bookmarkStart w:id="538" w:name="_Toc296347224"/>
      <w:bookmarkEnd w:id="538"/>
      <w:bookmarkStart w:id="539" w:name="_Toc296346726"/>
      <w:bookmarkEnd w:id="539"/>
      <w:bookmarkStart w:id="540" w:name="_Toc296503225"/>
      <w:r>
        <w:rPr>
          <w:rFonts w:hint="eastAsia" w:ascii="宋体" w:hAnsi="宋体"/>
          <w:color w:val="auto"/>
          <w:sz w:val="24"/>
        </w:rPr>
        <w:t>件</w:t>
      </w:r>
      <w:bookmarkEnd w:id="540"/>
      <w:r>
        <w:rPr>
          <w:rFonts w:hint="eastAsia" w:ascii="宋体" w:hAnsi="宋体"/>
          <w:color w:val="auto"/>
          <w:sz w:val="24"/>
          <w:lang w:val="en-US" w:eastAsia="zh-CN"/>
        </w:rPr>
        <w:t>2</w:t>
      </w:r>
      <w:r>
        <w:rPr>
          <w:rFonts w:hint="eastAsia" w:ascii="宋体" w:hAnsi="宋体"/>
          <w:color w:val="auto"/>
          <w:sz w:val="24"/>
        </w:rPr>
        <w:t>：</w:t>
      </w:r>
      <w:r>
        <w:rPr>
          <w:rFonts w:ascii="宋体" w:hAnsi="宋体"/>
          <w:color w:val="auto"/>
          <w:sz w:val="24"/>
        </w:rPr>
        <w:t xml:space="preserve">  </w:t>
      </w:r>
    </w:p>
    <w:p w14:paraId="52C11488">
      <w:pPr>
        <w:spacing w:before="156" w:beforeLines="50" w:after="156" w:afterLines="50" w:line="440" w:lineRule="exact"/>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工程质量保修书</w:t>
      </w:r>
    </w:p>
    <w:p w14:paraId="20CC1F6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8613950">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0F849BB">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发包人和承包人根据《中华人民共和国建筑法》和《建设工程质量管理条例》，经协商一致就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（工程全称）签订工程质量保修书。</w:t>
      </w:r>
    </w:p>
    <w:p w14:paraId="031F032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一、工程质量保修范围和内容</w:t>
      </w:r>
    </w:p>
    <w:p w14:paraId="59446EE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承包人在质量保修期内，按照有关法律规定和合同约定，承担工程质量保修责任。</w:t>
      </w:r>
    </w:p>
    <w:p w14:paraId="17D81EB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D640CF4">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CB03F4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二、质量保修期</w:t>
      </w:r>
    </w:p>
    <w:p w14:paraId="1186ACA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14:paraId="3A7E3F3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14:paraId="06B7546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2．屋面防水工程、有防水要求的卫生间、房间和外墙面的防渗为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74C39759">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27AC3067">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13177F6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个采暖期、供冷期；</w:t>
      </w:r>
    </w:p>
    <w:p w14:paraId="057BF43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4D2BFC8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C0475E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质量保修期自工程竣工验收合格之日起计算。</w:t>
      </w:r>
    </w:p>
    <w:p w14:paraId="4CD0904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三、缺陷责任期</w:t>
      </w:r>
    </w:p>
    <w:p w14:paraId="71B569C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工程缺陷责任期为</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12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个月，缺陷责任期自工程通过竣工验收之日起计算。单位工程先于全部工程进行验收，单位工程缺陷责任期自单位工程验收合格之日起算。</w:t>
      </w:r>
    </w:p>
    <w:p w14:paraId="26B0A00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w:t>
      </w:r>
      <w:r>
        <w:rPr>
          <w:rFonts w:hint="eastAsia" w:ascii="宋体" w:hAnsi="宋体" w:eastAsia="宋体" w:cs="宋体"/>
          <w:color w:val="auto"/>
          <w:sz w:val="24"/>
          <w:szCs w:val="24"/>
          <w:lang w:val="en-US" w:eastAsia="zh-CN"/>
        </w:rPr>
        <w:t>无息</w:t>
      </w:r>
      <w:r>
        <w:rPr>
          <w:rFonts w:hint="eastAsia" w:ascii="宋体" w:hAnsi="宋体" w:eastAsia="宋体" w:cs="宋体"/>
          <w:color w:val="auto"/>
          <w:sz w:val="24"/>
          <w:szCs w:val="24"/>
        </w:rPr>
        <w:t>退还剩余的质量保证金。</w:t>
      </w:r>
    </w:p>
    <w:p w14:paraId="0412F65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四、质量保修责任</w:t>
      </w:r>
    </w:p>
    <w:p w14:paraId="2B3FD3C9">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1．属于保修范围、内容的项目，承包人应当在接到保修通知之日起7天内派人保修。承包人不在约定期限内派人保修的，发包人可以委托他人修理。</w:t>
      </w:r>
    </w:p>
    <w:p w14:paraId="6557B3DA">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14:paraId="12205186">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5C13F2">
      <w:pPr>
        <w:keepNext w:val="0"/>
        <w:keepLines w:val="0"/>
        <w:pageBreakBefore w:val="0"/>
        <w:widowControl w:val="0"/>
        <w:kinsoku/>
        <w:wordWrap/>
        <w:overflowPunct/>
        <w:topLinePunct w:val="0"/>
        <w:autoSpaceDE/>
        <w:autoSpaceDN/>
        <w:bidi w:val="0"/>
        <w:adjustRightInd/>
        <w:snapToGrid/>
        <w:spacing w:line="360" w:lineRule="exact"/>
        <w:ind w:left="56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4．质量保修完成后，由发包人组织验收。</w:t>
      </w:r>
    </w:p>
    <w:p w14:paraId="224177DE">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五、保修费用</w:t>
      </w:r>
    </w:p>
    <w:p w14:paraId="071B7AB2">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保修费用由造成质量缺陷的责任方承担。</w:t>
      </w:r>
    </w:p>
    <w:p w14:paraId="32C33705">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s="宋体"/>
          <w:color w:val="auto"/>
          <w:sz w:val="24"/>
        </w:rPr>
      </w:pPr>
      <w:r>
        <w:rPr>
          <w:rFonts w:hint="eastAsia" w:ascii="宋体" w:hAnsi="宋体" w:eastAsia="宋体" w:cs="宋体"/>
          <w:b w:val="0"/>
          <w:bCs/>
          <w:color w:val="auto"/>
          <w:sz w:val="24"/>
          <w:szCs w:val="24"/>
        </w:rPr>
        <w:t>六</w:t>
      </w:r>
      <w:r>
        <w:rPr>
          <w:rFonts w:hint="eastAsia" w:ascii="宋体" w:hAnsi="宋体" w:eastAsia="宋体" w:cs="宋体"/>
          <w:color w:val="auto"/>
          <w:sz w:val="24"/>
          <w:szCs w:val="24"/>
        </w:rPr>
        <w:t>、</w:t>
      </w:r>
      <w:r>
        <w:rPr>
          <w:rFonts w:hint="eastAsia" w:ascii="宋体" w:hAnsi="宋体"/>
          <w:color w:val="auto"/>
          <w:sz w:val="24"/>
        </w:rPr>
        <w:t>质量保修金</w:t>
      </w:r>
    </w:p>
    <w:p w14:paraId="740FA9F3">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olor w:val="auto"/>
          <w:sz w:val="24"/>
        </w:rPr>
      </w:pPr>
      <w:r>
        <w:rPr>
          <w:rFonts w:hint="eastAsia" w:ascii="宋体" w:hAnsi="宋体"/>
          <w:color w:val="auto"/>
          <w:sz w:val="24"/>
        </w:rPr>
        <w:t>1．本工程质量保修金为工程结算价款的3％。</w:t>
      </w:r>
    </w:p>
    <w:p w14:paraId="3E72064A">
      <w:pPr>
        <w:keepNext w:val="0"/>
        <w:keepLines w:val="0"/>
        <w:pageBreakBefore w:val="0"/>
        <w:widowControl/>
        <w:kinsoku/>
        <w:wordWrap/>
        <w:overflowPunct/>
        <w:topLinePunct w:val="0"/>
        <w:autoSpaceDE/>
        <w:autoSpaceDN/>
        <w:bidi w:val="0"/>
        <w:adjustRightInd/>
        <w:snapToGrid w:val="0"/>
        <w:spacing w:line="360" w:lineRule="exact"/>
        <w:ind w:firstLine="480" w:firstLineChars="200"/>
        <w:textAlignment w:val="auto"/>
        <w:outlineLvl w:val="9"/>
        <w:rPr>
          <w:rFonts w:hint="eastAsia" w:ascii="宋体" w:hAnsi="宋体"/>
          <w:color w:val="auto"/>
          <w:sz w:val="24"/>
        </w:rPr>
      </w:pPr>
      <w:r>
        <w:rPr>
          <w:rFonts w:hint="eastAsia" w:ascii="宋体" w:hAnsi="宋体"/>
          <w:color w:val="auto"/>
          <w:sz w:val="24"/>
        </w:rPr>
        <w:t>2.本工程双方约定承包人向发包人支付工程质量保修金金额为</w:t>
      </w:r>
      <w:r>
        <w:rPr>
          <w:rFonts w:hint="eastAsia" w:ascii="宋体" w:hAnsi="宋体"/>
          <w:color w:val="auto"/>
          <w:sz w:val="24"/>
          <w:u w:val="single"/>
        </w:rPr>
        <w:t xml:space="preserve">            </w:t>
      </w:r>
      <w:r>
        <w:rPr>
          <w:rFonts w:hint="eastAsia" w:ascii="宋体" w:hAnsi="宋体"/>
          <w:color w:val="auto"/>
          <w:sz w:val="24"/>
        </w:rPr>
        <w:t>。质量保修金不计利息。</w:t>
      </w:r>
    </w:p>
    <w:p w14:paraId="226B47A1">
      <w:pPr>
        <w:keepNext w:val="0"/>
        <w:keepLines w:val="0"/>
        <w:pageBreakBefore w:val="0"/>
        <w:kinsoku/>
        <w:wordWrap/>
        <w:overflowPunct/>
        <w:topLinePunct w:val="0"/>
        <w:autoSpaceDE/>
        <w:autoSpaceDN/>
        <w:bidi w:val="0"/>
        <w:adjustRightInd/>
        <w:spacing w:line="360" w:lineRule="exact"/>
        <w:ind w:firstLine="480" w:firstLineChars="200"/>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七</w:t>
      </w:r>
      <w:r>
        <w:rPr>
          <w:rFonts w:hint="eastAsia" w:ascii="宋体" w:hAnsi="宋体" w:eastAsia="宋体" w:cs="宋体"/>
          <w:b w:val="0"/>
          <w:bCs/>
          <w:color w:val="auto"/>
          <w:sz w:val="24"/>
        </w:rPr>
        <w:t>、双方约定的其他工程质量保修事项：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D1401D2">
      <w:pPr>
        <w:keepNext w:val="0"/>
        <w:keepLines w:val="0"/>
        <w:pageBreakBefore w:val="0"/>
        <w:widowControl w:val="0"/>
        <w:kinsoku/>
        <w:wordWrap/>
        <w:overflowPunct/>
        <w:topLinePunct w:val="0"/>
        <w:autoSpaceDE/>
        <w:autoSpaceDN/>
        <w:bidi w:val="0"/>
        <w:adjustRightInd/>
        <w:snapToGrid/>
        <w:spacing w:line="360" w:lineRule="exact"/>
        <w:ind w:firstLine="456" w:firstLineChars="190"/>
        <w:textAlignment w:val="auto"/>
        <w:outlineLvl w:val="9"/>
        <w:rPr>
          <w:rFonts w:hint="eastAsia" w:ascii="宋体" w:hAnsi="宋体" w:eastAsia="宋体" w:cs="宋体"/>
          <w:color w:val="auto"/>
          <w:sz w:val="24"/>
          <w:szCs w:val="24"/>
        </w:rPr>
      </w:pPr>
      <w:r>
        <w:rPr>
          <w:rFonts w:hint="eastAsia" w:ascii="宋体" w:hAnsi="宋体" w:eastAsia="宋体" w:cs="宋体"/>
          <w:b w:val="0"/>
          <w:bCs/>
          <w:color w:val="auto"/>
          <w:sz w:val="24"/>
        </w:rPr>
        <w:t>工程质量保修书由发包人、承包人在工程竣工验收前共同签署，作为施工合同附件，其有效期限至保修期满。</w:t>
      </w:r>
    </w:p>
    <w:p w14:paraId="4377FEC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rPr>
      </w:pPr>
    </w:p>
    <w:p w14:paraId="332DF28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发包人(公章)：</w:t>
      </w:r>
      <w:r>
        <w:rPr>
          <w:rFonts w:hint="eastAsia" w:ascii="宋体" w:hAnsi="宋体" w:eastAsia="宋体" w:cs="宋体"/>
          <w:color w:val="auto"/>
          <w:sz w:val="24"/>
          <w:szCs w:val="24"/>
          <w:u w:val="single"/>
        </w:rPr>
        <w:t xml:space="preserve"> 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承包人(公章)：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C62DC0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B30AAF9">
      <w:pPr>
        <w:spacing w:line="360" w:lineRule="auto"/>
        <w:ind w:left="0" w:leftChars="0" w:firstLine="0" w:firstLineChars="0"/>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p>
    <w:p w14:paraId="4E20E007">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p>
    <w:p w14:paraId="58BA8632">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DBBF46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7AE4BD96">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5F7441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3A59B2D">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7B227AA">
      <w:pPr>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br w:type="page"/>
      </w:r>
    </w:p>
    <w:p w14:paraId="113D9393">
      <w:pPr>
        <w:spacing w:before="156" w:beforeLines="50" w:after="156" w:afterLines="50" w:line="440" w:lineRule="exact"/>
        <w:jc w:val="lef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3</w:t>
      </w:r>
      <w:r>
        <w:rPr>
          <w:rFonts w:hint="eastAsia" w:ascii="宋体" w:hAnsi="宋体"/>
          <w:color w:val="auto"/>
          <w:sz w:val="24"/>
        </w:rPr>
        <w:t>：</w:t>
      </w:r>
    </w:p>
    <w:p w14:paraId="6CBDAFD5">
      <w:pPr>
        <w:spacing w:before="0" w:beforeLines="0" w:after="0" w:afterLines="0" w:line="240" w:lineRule="auto"/>
        <w:ind w:left="0" w:leftChars="0" w:firstLine="0" w:firstLineChars="0"/>
        <w:jc w:val="center"/>
        <w:outlineLvl w:val="9"/>
        <w:rPr>
          <w:rFonts w:hint="eastAsia" w:ascii="宋体" w:hAnsi="宋体"/>
          <w:color w:val="auto"/>
          <w:sz w:val="24"/>
        </w:rPr>
      </w:pPr>
      <w:r>
        <w:rPr>
          <w:rFonts w:hint="eastAsia" w:ascii="宋体" w:hAnsi="宋体"/>
          <w:color w:val="auto"/>
          <w:sz w:val="24"/>
        </w:rPr>
        <w:t>主要建设工程文件目录</w:t>
      </w:r>
    </w:p>
    <w:tbl>
      <w:tblPr>
        <w:tblStyle w:val="19"/>
        <w:tblpPr w:leftFromText="180" w:rightFromText="180" w:vertAnchor="text" w:horzAnchor="page" w:tblpX="1641" w:tblpY="875"/>
        <w:tblOverlap w:val="never"/>
        <w:tblW w:w="0" w:type="auto"/>
        <w:tblInd w:w="0" w:type="dxa"/>
        <w:tblLayout w:type="fixed"/>
        <w:tblCellMar>
          <w:top w:w="0" w:type="dxa"/>
          <w:left w:w="28" w:type="dxa"/>
          <w:bottom w:w="0" w:type="dxa"/>
          <w:right w:w="28" w:type="dxa"/>
        </w:tblCellMar>
      </w:tblPr>
      <w:tblGrid>
        <w:gridCol w:w="1953"/>
        <w:gridCol w:w="1276"/>
        <w:gridCol w:w="1450"/>
        <w:gridCol w:w="1243"/>
        <w:gridCol w:w="1450"/>
        <w:gridCol w:w="1371"/>
      </w:tblGrid>
      <w:tr w14:paraId="068B08E6">
        <w:tblPrEx>
          <w:tblCellMar>
            <w:top w:w="0" w:type="dxa"/>
            <w:left w:w="28" w:type="dxa"/>
            <w:bottom w:w="0" w:type="dxa"/>
            <w:right w:w="28" w:type="dxa"/>
          </w:tblCellMar>
        </w:tblPrEx>
        <w:tc>
          <w:tcPr>
            <w:tcW w:w="1953" w:type="dxa"/>
            <w:tcBorders>
              <w:top w:val="single" w:color="auto" w:sz="12" w:space="0"/>
              <w:left w:val="single" w:color="auto" w:sz="12" w:space="0"/>
              <w:bottom w:val="double" w:color="auto" w:sz="2" w:space="0"/>
              <w:right w:val="single" w:color="auto" w:sz="6" w:space="0"/>
            </w:tcBorders>
            <w:noWrap w:val="0"/>
            <w:vAlign w:val="center"/>
          </w:tcPr>
          <w:p w14:paraId="587EFC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文件名称</w:t>
            </w:r>
          </w:p>
        </w:tc>
        <w:tc>
          <w:tcPr>
            <w:tcW w:w="1276" w:type="dxa"/>
            <w:tcBorders>
              <w:top w:val="single" w:color="auto" w:sz="12" w:space="0"/>
              <w:left w:val="single" w:color="auto" w:sz="6" w:space="0"/>
              <w:bottom w:val="double" w:color="auto" w:sz="2" w:space="0"/>
              <w:right w:val="single" w:color="auto" w:sz="6" w:space="0"/>
            </w:tcBorders>
            <w:noWrap w:val="0"/>
            <w:vAlign w:val="center"/>
          </w:tcPr>
          <w:p w14:paraId="297BAB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套数</w:t>
            </w:r>
          </w:p>
        </w:tc>
        <w:tc>
          <w:tcPr>
            <w:tcW w:w="1450" w:type="dxa"/>
            <w:tcBorders>
              <w:top w:val="single" w:color="auto" w:sz="12" w:space="0"/>
              <w:left w:val="single" w:color="auto" w:sz="6" w:space="0"/>
              <w:bottom w:val="double" w:color="auto" w:sz="2" w:space="0"/>
              <w:right w:val="single" w:color="auto" w:sz="6" w:space="0"/>
            </w:tcBorders>
            <w:noWrap w:val="0"/>
            <w:vAlign w:val="center"/>
          </w:tcPr>
          <w:p w14:paraId="0BBB9F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费用（元）</w:t>
            </w:r>
          </w:p>
        </w:tc>
        <w:tc>
          <w:tcPr>
            <w:tcW w:w="1243" w:type="dxa"/>
            <w:tcBorders>
              <w:top w:val="single" w:color="auto" w:sz="12" w:space="0"/>
              <w:left w:val="single" w:color="auto" w:sz="6" w:space="0"/>
              <w:bottom w:val="double" w:color="auto" w:sz="2" w:space="0"/>
              <w:right w:val="single" w:color="auto" w:sz="6" w:space="0"/>
            </w:tcBorders>
            <w:noWrap w:val="0"/>
            <w:vAlign w:val="center"/>
          </w:tcPr>
          <w:p w14:paraId="456D9C8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质量</w:t>
            </w:r>
          </w:p>
        </w:tc>
        <w:tc>
          <w:tcPr>
            <w:tcW w:w="1450" w:type="dxa"/>
            <w:tcBorders>
              <w:top w:val="single" w:color="auto" w:sz="12" w:space="0"/>
              <w:left w:val="single" w:color="auto" w:sz="6" w:space="0"/>
              <w:bottom w:val="double" w:color="auto" w:sz="2" w:space="0"/>
              <w:right w:val="single" w:color="auto" w:sz="6" w:space="0"/>
            </w:tcBorders>
            <w:noWrap w:val="0"/>
            <w:vAlign w:val="top"/>
          </w:tcPr>
          <w:p w14:paraId="3F254D5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移交时间</w:t>
            </w:r>
          </w:p>
        </w:tc>
        <w:tc>
          <w:tcPr>
            <w:tcW w:w="1371" w:type="dxa"/>
            <w:tcBorders>
              <w:top w:val="single" w:color="auto" w:sz="12" w:space="0"/>
              <w:left w:val="single" w:color="auto" w:sz="6" w:space="0"/>
              <w:bottom w:val="double" w:color="auto" w:sz="2" w:space="0"/>
              <w:right w:val="single" w:color="auto" w:sz="12" w:space="0"/>
            </w:tcBorders>
            <w:noWrap w:val="0"/>
            <w:vAlign w:val="top"/>
          </w:tcPr>
          <w:p w14:paraId="3E69D4A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责任人</w:t>
            </w:r>
          </w:p>
        </w:tc>
      </w:tr>
      <w:tr w14:paraId="4FE17BF9">
        <w:tblPrEx>
          <w:tblCellMar>
            <w:top w:w="0" w:type="dxa"/>
            <w:left w:w="28" w:type="dxa"/>
            <w:bottom w:w="0" w:type="dxa"/>
            <w:right w:w="28" w:type="dxa"/>
          </w:tblCellMar>
        </w:tblPrEx>
        <w:trPr>
          <w:trHeight w:val="567" w:hRule="atLeast"/>
        </w:trPr>
        <w:tc>
          <w:tcPr>
            <w:tcW w:w="1953" w:type="dxa"/>
            <w:tcBorders>
              <w:top w:val="double" w:color="auto" w:sz="2" w:space="0"/>
              <w:left w:val="single" w:color="auto" w:sz="12" w:space="0"/>
              <w:bottom w:val="single" w:color="auto" w:sz="6" w:space="0"/>
              <w:right w:val="single" w:color="auto" w:sz="6" w:space="0"/>
            </w:tcBorders>
            <w:noWrap w:val="0"/>
            <w:vAlign w:val="center"/>
          </w:tcPr>
          <w:p w14:paraId="65EA9138">
            <w:pPr>
              <w:pStyle w:val="10"/>
              <w:keepNext/>
              <w:spacing w:line="440" w:lineRule="exact"/>
              <w:ind w:left="63" w:right="63"/>
              <w:outlineLvl w:val="9"/>
              <w:rPr>
                <w:rFonts w:ascii="宋体" w:hAnsi="宋体"/>
                <w:color w:val="auto"/>
                <w:sz w:val="24"/>
                <w:szCs w:val="24"/>
              </w:rPr>
            </w:pPr>
          </w:p>
        </w:tc>
        <w:tc>
          <w:tcPr>
            <w:tcW w:w="1276" w:type="dxa"/>
            <w:tcBorders>
              <w:top w:val="double" w:color="auto" w:sz="2" w:space="0"/>
              <w:left w:val="single" w:color="auto" w:sz="6" w:space="0"/>
              <w:bottom w:val="single" w:color="auto" w:sz="6" w:space="0"/>
              <w:right w:val="single" w:color="auto" w:sz="6" w:space="0"/>
            </w:tcBorders>
            <w:noWrap w:val="0"/>
            <w:vAlign w:val="center"/>
          </w:tcPr>
          <w:p w14:paraId="188E57B1">
            <w:pPr>
              <w:pStyle w:val="10"/>
              <w:keepNext/>
              <w:spacing w:line="440" w:lineRule="exact"/>
              <w:ind w:left="63" w:right="63"/>
              <w:outlineLvl w:val="9"/>
              <w:rPr>
                <w:rFonts w:ascii="宋体" w:hAnsi="宋体"/>
                <w:color w:val="auto"/>
                <w:sz w:val="24"/>
                <w:szCs w:val="24"/>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420A2183">
            <w:pPr>
              <w:pStyle w:val="10"/>
              <w:keepNext/>
              <w:spacing w:line="440" w:lineRule="exact"/>
              <w:ind w:left="63" w:right="63"/>
              <w:outlineLvl w:val="9"/>
              <w:rPr>
                <w:rFonts w:ascii="宋体" w:hAnsi="宋体"/>
                <w:color w:val="auto"/>
                <w:sz w:val="24"/>
                <w:szCs w:val="24"/>
              </w:rPr>
            </w:pPr>
          </w:p>
        </w:tc>
        <w:tc>
          <w:tcPr>
            <w:tcW w:w="1243" w:type="dxa"/>
            <w:tcBorders>
              <w:top w:val="double" w:color="auto" w:sz="2" w:space="0"/>
              <w:left w:val="single" w:color="auto" w:sz="6" w:space="0"/>
              <w:bottom w:val="single" w:color="auto" w:sz="6" w:space="0"/>
              <w:right w:val="single" w:color="auto" w:sz="6" w:space="0"/>
            </w:tcBorders>
            <w:noWrap w:val="0"/>
            <w:vAlign w:val="center"/>
          </w:tcPr>
          <w:p w14:paraId="7C62319B">
            <w:pPr>
              <w:pStyle w:val="10"/>
              <w:keepNext/>
              <w:spacing w:line="440" w:lineRule="exact"/>
              <w:ind w:left="63" w:right="63"/>
              <w:outlineLvl w:val="9"/>
              <w:rPr>
                <w:rFonts w:ascii="宋体" w:hAnsi="宋体"/>
                <w:color w:val="auto"/>
                <w:sz w:val="24"/>
                <w:szCs w:val="24"/>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5D980C87">
            <w:pPr>
              <w:pStyle w:val="10"/>
              <w:keepNext/>
              <w:spacing w:line="440" w:lineRule="exact"/>
              <w:ind w:left="63" w:right="63"/>
              <w:outlineLvl w:val="9"/>
              <w:rPr>
                <w:rFonts w:ascii="宋体" w:hAnsi="宋体"/>
                <w:color w:val="auto"/>
                <w:sz w:val="24"/>
                <w:szCs w:val="24"/>
              </w:rPr>
            </w:pPr>
          </w:p>
        </w:tc>
        <w:tc>
          <w:tcPr>
            <w:tcW w:w="1371" w:type="dxa"/>
            <w:tcBorders>
              <w:top w:val="double" w:color="auto" w:sz="2" w:space="0"/>
              <w:left w:val="single" w:color="auto" w:sz="6" w:space="0"/>
              <w:bottom w:val="single" w:color="auto" w:sz="6" w:space="0"/>
              <w:right w:val="single" w:color="auto" w:sz="12" w:space="0"/>
            </w:tcBorders>
            <w:noWrap w:val="0"/>
            <w:vAlign w:val="center"/>
          </w:tcPr>
          <w:p w14:paraId="4A793FAD">
            <w:pPr>
              <w:pStyle w:val="10"/>
              <w:keepNext/>
              <w:spacing w:line="440" w:lineRule="exact"/>
              <w:ind w:left="63" w:right="63"/>
              <w:outlineLvl w:val="9"/>
              <w:rPr>
                <w:rFonts w:ascii="宋体" w:hAnsi="宋体"/>
                <w:color w:val="auto"/>
                <w:sz w:val="24"/>
                <w:szCs w:val="24"/>
              </w:rPr>
            </w:pPr>
          </w:p>
        </w:tc>
      </w:tr>
      <w:tr w14:paraId="451B45FF">
        <w:tblPrEx>
          <w:tblCellMar>
            <w:top w:w="0" w:type="dxa"/>
            <w:left w:w="28" w:type="dxa"/>
            <w:bottom w:w="0" w:type="dxa"/>
            <w:right w:w="28" w:type="dxa"/>
          </w:tblCellMar>
        </w:tblPrEx>
        <w:trPr>
          <w:trHeight w:val="567" w:hRule="atLeast"/>
        </w:trPr>
        <w:tc>
          <w:tcPr>
            <w:tcW w:w="1953" w:type="dxa"/>
            <w:tcBorders>
              <w:top w:val="nil"/>
              <w:left w:val="single" w:color="auto" w:sz="12" w:space="0"/>
              <w:bottom w:val="single" w:color="auto" w:sz="6" w:space="0"/>
              <w:right w:val="single" w:color="auto" w:sz="6" w:space="0"/>
            </w:tcBorders>
            <w:noWrap w:val="0"/>
            <w:vAlign w:val="center"/>
          </w:tcPr>
          <w:p w14:paraId="704A6AB4">
            <w:pPr>
              <w:pStyle w:val="10"/>
              <w:keepNext/>
              <w:spacing w:line="440" w:lineRule="exact"/>
              <w:ind w:left="63" w:right="63"/>
              <w:outlineLvl w:val="9"/>
              <w:rPr>
                <w:rFonts w:ascii="宋体" w:hAnsi="宋体"/>
                <w:color w:val="auto"/>
                <w:sz w:val="24"/>
                <w:szCs w:val="24"/>
              </w:rPr>
            </w:pPr>
          </w:p>
        </w:tc>
        <w:tc>
          <w:tcPr>
            <w:tcW w:w="1276" w:type="dxa"/>
            <w:tcBorders>
              <w:top w:val="nil"/>
              <w:left w:val="single" w:color="auto" w:sz="6" w:space="0"/>
              <w:bottom w:val="single" w:color="auto" w:sz="6" w:space="0"/>
              <w:right w:val="single" w:color="auto" w:sz="6" w:space="0"/>
            </w:tcBorders>
            <w:noWrap w:val="0"/>
            <w:vAlign w:val="center"/>
          </w:tcPr>
          <w:p w14:paraId="1D6B8F9F">
            <w:pPr>
              <w:pStyle w:val="10"/>
              <w:keepNext/>
              <w:spacing w:line="440" w:lineRule="exact"/>
              <w:ind w:left="63" w:right="63"/>
              <w:outlineLvl w:val="9"/>
              <w:rPr>
                <w:rFonts w:ascii="宋体" w:hAnsi="宋体"/>
                <w:color w:val="auto"/>
                <w:sz w:val="24"/>
                <w:szCs w:val="24"/>
              </w:rPr>
            </w:pPr>
          </w:p>
        </w:tc>
        <w:tc>
          <w:tcPr>
            <w:tcW w:w="1450" w:type="dxa"/>
            <w:tcBorders>
              <w:top w:val="nil"/>
              <w:left w:val="single" w:color="auto" w:sz="6" w:space="0"/>
              <w:bottom w:val="single" w:color="auto" w:sz="6" w:space="0"/>
              <w:right w:val="single" w:color="auto" w:sz="6" w:space="0"/>
            </w:tcBorders>
            <w:noWrap w:val="0"/>
            <w:vAlign w:val="center"/>
          </w:tcPr>
          <w:p w14:paraId="0AEC9623">
            <w:pPr>
              <w:pStyle w:val="10"/>
              <w:keepNext/>
              <w:spacing w:line="440" w:lineRule="exact"/>
              <w:ind w:left="63" w:right="63"/>
              <w:outlineLvl w:val="9"/>
              <w:rPr>
                <w:rFonts w:ascii="宋体" w:hAnsi="宋体"/>
                <w:color w:val="auto"/>
                <w:sz w:val="24"/>
                <w:szCs w:val="24"/>
              </w:rPr>
            </w:pPr>
          </w:p>
        </w:tc>
        <w:tc>
          <w:tcPr>
            <w:tcW w:w="1243" w:type="dxa"/>
            <w:tcBorders>
              <w:top w:val="nil"/>
              <w:left w:val="single" w:color="auto" w:sz="6" w:space="0"/>
              <w:bottom w:val="single" w:color="auto" w:sz="6" w:space="0"/>
              <w:right w:val="single" w:color="auto" w:sz="6" w:space="0"/>
            </w:tcBorders>
            <w:noWrap w:val="0"/>
            <w:vAlign w:val="center"/>
          </w:tcPr>
          <w:p w14:paraId="3CA46169">
            <w:pPr>
              <w:pStyle w:val="10"/>
              <w:keepNext/>
              <w:spacing w:line="440" w:lineRule="exact"/>
              <w:ind w:left="63" w:right="63"/>
              <w:outlineLvl w:val="9"/>
              <w:rPr>
                <w:rFonts w:ascii="宋体" w:hAnsi="宋体"/>
                <w:color w:val="auto"/>
                <w:sz w:val="24"/>
                <w:szCs w:val="24"/>
              </w:rPr>
            </w:pPr>
          </w:p>
        </w:tc>
        <w:tc>
          <w:tcPr>
            <w:tcW w:w="1450" w:type="dxa"/>
            <w:tcBorders>
              <w:top w:val="nil"/>
              <w:left w:val="single" w:color="auto" w:sz="6" w:space="0"/>
              <w:bottom w:val="single" w:color="auto" w:sz="6" w:space="0"/>
              <w:right w:val="single" w:color="auto" w:sz="6" w:space="0"/>
            </w:tcBorders>
            <w:noWrap w:val="0"/>
            <w:vAlign w:val="center"/>
          </w:tcPr>
          <w:p w14:paraId="07418A2A">
            <w:pPr>
              <w:pStyle w:val="10"/>
              <w:keepNext/>
              <w:spacing w:line="440" w:lineRule="exact"/>
              <w:ind w:left="63" w:right="63"/>
              <w:outlineLvl w:val="9"/>
              <w:rPr>
                <w:rFonts w:ascii="宋体" w:hAnsi="宋体"/>
                <w:color w:val="auto"/>
                <w:sz w:val="24"/>
                <w:szCs w:val="24"/>
              </w:rPr>
            </w:pPr>
          </w:p>
        </w:tc>
        <w:tc>
          <w:tcPr>
            <w:tcW w:w="1371" w:type="dxa"/>
            <w:tcBorders>
              <w:top w:val="nil"/>
              <w:left w:val="single" w:color="auto" w:sz="6" w:space="0"/>
              <w:bottom w:val="single" w:color="auto" w:sz="6" w:space="0"/>
              <w:right w:val="single" w:color="auto" w:sz="12" w:space="0"/>
            </w:tcBorders>
            <w:noWrap w:val="0"/>
            <w:vAlign w:val="center"/>
          </w:tcPr>
          <w:p w14:paraId="3FBDB999">
            <w:pPr>
              <w:pStyle w:val="10"/>
              <w:keepNext/>
              <w:spacing w:line="440" w:lineRule="exact"/>
              <w:ind w:left="63" w:right="63"/>
              <w:outlineLvl w:val="9"/>
              <w:rPr>
                <w:rFonts w:ascii="宋体" w:hAnsi="宋体"/>
                <w:color w:val="auto"/>
                <w:sz w:val="24"/>
                <w:szCs w:val="24"/>
              </w:rPr>
            </w:pPr>
          </w:p>
        </w:tc>
      </w:tr>
      <w:tr w14:paraId="394101F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0D31B3EF">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83C7FE5">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2333E2E">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71830C59">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2F8C175">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F109A50">
            <w:pPr>
              <w:pStyle w:val="10"/>
              <w:keepNext/>
              <w:spacing w:line="440" w:lineRule="exact"/>
              <w:ind w:left="63" w:right="63"/>
              <w:outlineLvl w:val="9"/>
              <w:rPr>
                <w:rFonts w:ascii="宋体" w:hAnsi="宋体"/>
                <w:color w:val="auto"/>
                <w:sz w:val="24"/>
                <w:szCs w:val="24"/>
              </w:rPr>
            </w:pPr>
          </w:p>
        </w:tc>
      </w:tr>
      <w:tr w14:paraId="7331241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7380E761">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B142FE1">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CD238F1">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E0C40D5">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4F9CD17">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131D42EA">
            <w:pPr>
              <w:pStyle w:val="10"/>
              <w:keepNext/>
              <w:spacing w:line="440" w:lineRule="exact"/>
              <w:ind w:left="63" w:right="63"/>
              <w:outlineLvl w:val="9"/>
              <w:rPr>
                <w:rFonts w:ascii="宋体" w:hAnsi="宋体"/>
                <w:color w:val="auto"/>
                <w:sz w:val="24"/>
                <w:szCs w:val="24"/>
              </w:rPr>
            </w:pPr>
          </w:p>
        </w:tc>
      </w:tr>
      <w:tr w14:paraId="4B7E99D9">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1B9DB2D7">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0F574C7">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737D3DA">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DE6133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59B61CB">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3C616F2">
            <w:pPr>
              <w:pStyle w:val="10"/>
              <w:keepNext/>
              <w:spacing w:line="440" w:lineRule="exact"/>
              <w:ind w:left="63" w:right="63"/>
              <w:outlineLvl w:val="9"/>
              <w:rPr>
                <w:rFonts w:ascii="宋体" w:hAnsi="宋体"/>
                <w:color w:val="auto"/>
                <w:sz w:val="24"/>
                <w:szCs w:val="24"/>
              </w:rPr>
            </w:pPr>
          </w:p>
        </w:tc>
      </w:tr>
      <w:tr w14:paraId="248F3F4E">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B97790B">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B9CE82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B5DDC35">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10BD00E4">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CFE2207">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6C996354">
            <w:pPr>
              <w:pStyle w:val="10"/>
              <w:keepNext/>
              <w:spacing w:line="440" w:lineRule="exact"/>
              <w:ind w:left="63" w:right="63"/>
              <w:outlineLvl w:val="9"/>
              <w:rPr>
                <w:rFonts w:ascii="宋体" w:hAnsi="宋体"/>
                <w:color w:val="auto"/>
                <w:sz w:val="24"/>
                <w:szCs w:val="24"/>
              </w:rPr>
            </w:pPr>
          </w:p>
        </w:tc>
      </w:tr>
      <w:tr w14:paraId="743FC868">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12F40DA">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FAA19E3">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BB51BC1">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BF3989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7134A74">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4B1B5E7C">
            <w:pPr>
              <w:pStyle w:val="10"/>
              <w:keepNext/>
              <w:spacing w:line="440" w:lineRule="exact"/>
              <w:ind w:left="63" w:right="63"/>
              <w:outlineLvl w:val="9"/>
              <w:rPr>
                <w:rFonts w:ascii="宋体" w:hAnsi="宋体"/>
                <w:color w:val="auto"/>
                <w:sz w:val="24"/>
                <w:szCs w:val="24"/>
              </w:rPr>
            </w:pPr>
          </w:p>
        </w:tc>
      </w:tr>
      <w:tr w14:paraId="0890BEA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65272698">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D46FB89">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121C16E">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938656E">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A99E305">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57A182D9">
            <w:pPr>
              <w:pStyle w:val="10"/>
              <w:keepNext/>
              <w:spacing w:line="440" w:lineRule="exact"/>
              <w:ind w:left="63" w:right="63"/>
              <w:outlineLvl w:val="9"/>
              <w:rPr>
                <w:rFonts w:ascii="宋体" w:hAnsi="宋体"/>
                <w:color w:val="auto"/>
                <w:sz w:val="24"/>
                <w:szCs w:val="24"/>
              </w:rPr>
            </w:pPr>
          </w:p>
        </w:tc>
      </w:tr>
      <w:tr w14:paraId="0429B3AE">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0042499">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5D371D04">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B973423">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450FF8A4">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251D0F5F">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441226E">
            <w:pPr>
              <w:outlineLvl w:val="9"/>
              <w:rPr>
                <w:rFonts w:ascii="宋体" w:hAnsi="宋体" w:eastAsia="宋体"/>
                <w:color w:val="auto"/>
                <w:sz w:val="24"/>
                <w:szCs w:val="24"/>
              </w:rPr>
            </w:pPr>
          </w:p>
        </w:tc>
      </w:tr>
      <w:tr w14:paraId="25710C00">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2835E5E5">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5E7BB0D">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6262255">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A60DF6C">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AFE715B">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5454EC6">
            <w:pPr>
              <w:pStyle w:val="10"/>
              <w:keepNext/>
              <w:spacing w:line="440" w:lineRule="exact"/>
              <w:ind w:left="63" w:right="63"/>
              <w:outlineLvl w:val="9"/>
              <w:rPr>
                <w:rFonts w:ascii="宋体" w:hAnsi="宋体"/>
                <w:color w:val="auto"/>
                <w:sz w:val="24"/>
                <w:szCs w:val="24"/>
              </w:rPr>
            </w:pPr>
          </w:p>
        </w:tc>
      </w:tr>
      <w:tr w14:paraId="329ED05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B531251">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1EF4A8AC">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AB12CBA">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1EDAC1DA">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5C7DAD7">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A114E57">
            <w:pPr>
              <w:outlineLvl w:val="9"/>
              <w:rPr>
                <w:rFonts w:ascii="宋体" w:hAnsi="宋体" w:eastAsia="宋体"/>
                <w:color w:val="auto"/>
                <w:sz w:val="24"/>
                <w:szCs w:val="24"/>
              </w:rPr>
            </w:pPr>
          </w:p>
        </w:tc>
      </w:tr>
      <w:tr w14:paraId="4DD62AEC">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59EA001F">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73529766">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4777C7C5">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2DFC517C">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6D259B81">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381C5E1C">
            <w:pPr>
              <w:outlineLvl w:val="9"/>
              <w:rPr>
                <w:rFonts w:ascii="宋体" w:hAnsi="宋体" w:eastAsia="宋体"/>
                <w:color w:val="auto"/>
                <w:sz w:val="24"/>
                <w:szCs w:val="24"/>
              </w:rPr>
            </w:pPr>
          </w:p>
        </w:tc>
      </w:tr>
      <w:tr w14:paraId="3F0F7053">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71BFBE97">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4C99D82">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E262A72">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52A4ED48">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1FDA841">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2D4685B1">
            <w:pPr>
              <w:outlineLvl w:val="9"/>
              <w:rPr>
                <w:rFonts w:ascii="宋体" w:hAnsi="宋体" w:eastAsia="宋体"/>
                <w:color w:val="auto"/>
                <w:sz w:val="24"/>
                <w:szCs w:val="24"/>
              </w:rPr>
            </w:pPr>
          </w:p>
        </w:tc>
      </w:tr>
      <w:tr w14:paraId="2C9300D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67D385B3">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5A275D3">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FB39653">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0E3C330E">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37DD3FEE">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01B15B8A">
            <w:pPr>
              <w:outlineLvl w:val="9"/>
              <w:rPr>
                <w:rFonts w:ascii="宋体" w:hAnsi="宋体" w:eastAsia="宋体"/>
                <w:color w:val="auto"/>
                <w:sz w:val="24"/>
                <w:szCs w:val="24"/>
              </w:rPr>
            </w:pPr>
          </w:p>
        </w:tc>
      </w:tr>
    </w:tbl>
    <w:p w14:paraId="48DCC584">
      <w:pPr>
        <w:spacing w:before="0" w:beforeLines="0" w:after="0" w:afterLines="0" w:line="240" w:lineRule="auto"/>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1234B506">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4</w:t>
      </w:r>
      <w:r>
        <w:rPr>
          <w:rFonts w:hint="eastAsia" w:ascii="宋体" w:hAnsi="宋体"/>
          <w:color w:val="auto"/>
          <w:sz w:val="24"/>
        </w:rPr>
        <w:t>：</w:t>
      </w:r>
    </w:p>
    <w:p w14:paraId="54F9964F">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承包人用于本工程施工的机械设备表</w:t>
      </w:r>
    </w:p>
    <w:tbl>
      <w:tblPr>
        <w:tblStyle w:val="19"/>
        <w:tblW w:w="0" w:type="auto"/>
        <w:jc w:val="center"/>
        <w:tblLayout w:type="fixed"/>
        <w:tblCellMar>
          <w:top w:w="0" w:type="dxa"/>
          <w:left w:w="28" w:type="dxa"/>
          <w:bottom w:w="0" w:type="dxa"/>
          <w:right w:w="28" w:type="dxa"/>
        </w:tblCellMar>
      </w:tblPr>
      <w:tblGrid>
        <w:gridCol w:w="865"/>
        <w:gridCol w:w="1418"/>
        <w:gridCol w:w="850"/>
        <w:gridCol w:w="1058"/>
        <w:gridCol w:w="880"/>
        <w:gridCol w:w="1020"/>
        <w:gridCol w:w="1238"/>
        <w:gridCol w:w="1036"/>
        <w:gridCol w:w="786"/>
      </w:tblGrid>
      <w:tr w14:paraId="5598C1FC">
        <w:tblPrEx>
          <w:tblCellMar>
            <w:top w:w="0" w:type="dxa"/>
            <w:left w:w="28" w:type="dxa"/>
            <w:bottom w:w="0" w:type="dxa"/>
            <w:right w:w="28" w:type="dxa"/>
          </w:tblCellMar>
        </w:tblPrEx>
        <w:trPr>
          <w:jc w:val="center"/>
        </w:trPr>
        <w:tc>
          <w:tcPr>
            <w:tcW w:w="865" w:type="dxa"/>
            <w:tcBorders>
              <w:top w:val="single" w:color="auto" w:sz="12" w:space="0"/>
              <w:left w:val="single" w:color="auto" w:sz="12" w:space="0"/>
              <w:bottom w:val="double" w:color="auto" w:sz="2" w:space="0"/>
              <w:right w:val="single" w:color="auto" w:sz="6" w:space="0"/>
            </w:tcBorders>
            <w:noWrap w:val="0"/>
            <w:vAlign w:val="center"/>
          </w:tcPr>
          <w:p w14:paraId="550FC9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0C0CE8F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机械或设备名      称</w:t>
            </w:r>
          </w:p>
        </w:tc>
        <w:tc>
          <w:tcPr>
            <w:tcW w:w="850" w:type="dxa"/>
            <w:tcBorders>
              <w:top w:val="single" w:color="auto" w:sz="12" w:space="0"/>
              <w:left w:val="single" w:color="auto" w:sz="6" w:space="0"/>
              <w:bottom w:val="double" w:color="auto" w:sz="2" w:space="0"/>
              <w:right w:val="single" w:color="auto" w:sz="6" w:space="0"/>
            </w:tcBorders>
            <w:noWrap w:val="0"/>
            <w:vAlign w:val="center"/>
          </w:tcPr>
          <w:p w14:paraId="4B75852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规格型 号</w:t>
            </w:r>
          </w:p>
        </w:tc>
        <w:tc>
          <w:tcPr>
            <w:tcW w:w="1058" w:type="dxa"/>
            <w:tcBorders>
              <w:top w:val="single" w:color="auto" w:sz="12" w:space="0"/>
              <w:left w:val="single" w:color="auto" w:sz="6" w:space="0"/>
              <w:bottom w:val="double" w:color="auto" w:sz="2" w:space="0"/>
              <w:right w:val="single" w:color="auto" w:sz="6" w:space="0"/>
            </w:tcBorders>
            <w:noWrap w:val="0"/>
            <w:vAlign w:val="center"/>
          </w:tcPr>
          <w:p w14:paraId="00C0378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880" w:type="dxa"/>
            <w:tcBorders>
              <w:top w:val="single" w:color="auto" w:sz="12" w:space="0"/>
              <w:left w:val="single" w:color="auto" w:sz="6" w:space="0"/>
              <w:bottom w:val="double" w:color="auto" w:sz="2" w:space="0"/>
              <w:right w:val="single" w:color="auto" w:sz="6" w:space="0"/>
            </w:tcBorders>
            <w:noWrap w:val="0"/>
            <w:vAlign w:val="center"/>
          </w:tcPr>
          <w:p w14:paraId="12E8BB5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产地</w:t>
            </w:r>
          </w:p>
        </w:tc>
        <w:tc>
          <w:tcPr>
            <w:tcW w:w="1020" w:type="dxa"/>
            <w:tcBorders>
              <w:top w:val="single" w:color="auto" w:sz="12" w:space="0"/>
              <w:left w:val="single" w:color="auto" w:sz="6" w:space="0"/>
              <w:bottom w:val="double" w:color="auto" w:sz="2" w:space="0"/>
              <w:right w:val="single" w:color="auto" w:sz="6" w:space="0"/>
            </w:tcBorders>
            <w:noWrap w:val="0"/>
            <w:vAlign w:val="center"/>
          </w:tcPr>
          <w:p w14:paraId="378847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制造</w:t>
            </w:r>
          </w:p>
          <w:p w14:paraId="7F6E70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年份</w:t>
            </w:r>
          </w:p>
        </w:tc>
        <w:tc>
          <w:tcPr>
            <w:tcW w:w="1238" w:type="dxa"/>
            <w:tcBorders>
              <w:top w:val="single" w:color="auto" w:sz="12" w:space="0"/>
              <w:left w:val="single" w:color="auto" w:sz="6" w:space="0"/>
              <w:bottom w:val="double" w:color="auto" w:sz="2" w:space="0"/>
              <w:right w:val="single" w:color="auto" w:sz="6" w:space="0"/>
            </w:tcBorders>
            <w:noWrap w:val="0"/>
            <w:vAlign w:val="center"/>
          </w:tcPr>
          <w:p w14:paraId="27E304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额定功</w:t>
            </w:r>
          </w:p>
          <w:p w14:paraId="335647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率(kW)</w:t>
            </w:r>
          </w:p>
        </w:tc>
        <w:tc>
          <w:tcPr>
            <w:tcW w:w="1036" w:type="dxa"/>
            <w:tcBorders>
              <w:top w:val="single" w:color="auto" w:sz="12" w:space="0"/>
              <w:left w:val="single" w:color="auto" w:sz="6" w:space="0"/>
              <w:bottom w:val="double" w:color="auto" w:sz="2" w:space="0"/>
              <w:right w:val="single" w:color="auto" w:sz="6" w:space="0"/>
            </w:tcBorders>
            <w:noWrap w:val="0"/>
            <w:vAlign w:val="center"/>
          </w:tcPr>
          <w:p w14:paraId="10FAEC5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生产</w:t>
            </w:r>
          </w:p>
          <w:p w14:paraId="13E6ED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能力</w:t>
            </w:r>
          </w:p>
        </w:tc>
        <w:tc>
          <w:tcPr>
            <w:tcW w:w="786" w:type="dxa"/>
            <w:tcBorders>
              <w:top w:val="single" w:color="auto" w:sz="12" w:space="0"/>
              <w:left w:val="single" w:color="auto" w:sz="6" w:space="0"/>
              <w:bottom w:val="double" w:color="auto" w:sz="2" w:space="0"/>
              <w:right w:val="single" w:color="auto" w:sz="12" w:space="0"/>
            </w:tcBorders>
            <w:noWrap w:val="0"/>
            <w:vAlign w:val="center"/>
          </w:tcPr>
          <w:p w14:paraId="7FD33C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19E1BB85">
        <w:tblPrEx>
          <w:tblCellMar>
            <w:top w:w="0" w:type="dxa"/>
            <w:left w:w="28" w:type="dxa"/>
            <w:bottom w:w="0" w:type="dxa"/>
            <w:right w:w="28" w:type="dxa"/>
          </w:tblCellMar>
        </w:tblPrEx>
        <w:trPr>
          <w:trHeight w:val="567" w:hRule="atLeast"/>
          <w:jc w:val="center"/>
        </w:trPr>
        <w:tc>
          <w:tcPr>
            <w:tcW w:w="865" w:type="dxa"/>
            <w:tcBorders>
              <w:top w:val="double" w:color="auto" w:sz="2" w:space="0"/>
              <w:left w:val="single" w:color="auto" w:sz="12" w:space="0"/>
              <w:bottom w:val="single" w:color="auto" w:sz="6" w:space="0"/>
              <w:right w:val="single" w:color="auto" w:sz="6" w:space="0"/>
            </w:tcBorders>
            <w:noWrap w:val="0"/>
            <w:vAlign w:val="center"/>
          </w:tcPr>
          <w:p w14:paraId="5516042B">
            <w:pPr>
              <w:pStyle w:val="10"/>
              <w:keepNext/>
              <w:spacing w:line="440" w:lineRule="exact"/>
              <w:ind w:left="63" w:right="63"/>
              <w:outlineLvl w:val="9"/>
              <w:rPr>
                <w:rFonts w:ascii="宋体" w:hAnsi="宋体"/>
                <w:color w:val="auto"/>
                <w:sz w:val="24"/>
              </w:rPr>
            </w:pPr>
          </w:p>
        </w:tc>
        <w:tc>
          <w:tcPr>
            <w:tcW w:w="1418" w:type="dxa"/>
            <w:tcBorders>
              <w:top w:val="double" w:color="auto" w:sz="2" w:space="0"/>
              <w:left w:val="single" w:color="auto" w:sz="6" w:space="0"/>
              <w:bottom w:val="single" w:color="auto" w:sz="6" w:space="0"/>
              <w:right w:val="single" w:color="auto" w:sz="6" w:space="0"/>
            </w:tcBorders>
            <w:noWrap w:val="0"/>
            <w:vAlign w:val="center"/>
          </w:tcPr>
          <w:p w14:paraId="4F1E4126">
            <w:pPr>
              <w:pStyle w:val="10"/>
              <w:keepNext/>
              <w:spacing w:line="440" w:lineRule="exact"/>
              <w:ind w:left="63" w:right="63"/>
              <w:outlineLvl w:val="9"/>
              <w:rPr>
                <w:rFonts w:ascii="宋体" w:hAnsi="宋体"/>
                <w:color w:val="auto"/>
                <w:sz w:val="24"/>
              </w:rPr>
            </w:pPr>
          </w:p>
        </w:tc>
        <w:tc>
          <w:tcPr>
            <w:tcW w:w="850" w:type="dxa"/>
            <w:tcBorders>
              <w:top w:val="double" w:color="auto" w:sz="2" w:space="0"/>
              <w:left w:val="single" w:color="auto" w:sz="6" w:space="0"/>
              <w:bottom w:val="single" w:color="auto" w:sz="6" w:space="0"/>
              <w:right w:val="single" w:color="auto" w:sz="6" w:space="0"/>
            </w:tcBorders>
            <w:noWrap w:val="0"/>
            <w:vAlign w:val="center"/>
          </w:tcPr>
          <w:p w14:paraId="56CC2E8E">
            <w:pPr>
              <w:pStyle w:val="10"/>
              <w:keepNext/>
              <w:spacing w:line="440" w:lineRule="exact"/>
              <w:ind w:left="63" w:right="63"/>
              <w:outlineLvl w:val="9"/>
              <w:rPr>
                <w:rFonts w:ascii="宋体" w:hAnsi="宋体"/>
                <w:color w:val="auto"/>
                <w:sz w:val="24"/>
              </w:rPr>
            </w:pPr>
          </w:p>
        </w:tc>
        <w:tc>
          <w:tcPr>
            <w:tcW w:w="1058" w:type="dxa"/>
            <w:tcBorders>
              <w:top w:val="double" w:color="auto" w:sz="2" w:space="0"/>
              <w:left w:val="single" w:color="auto" w:sz="6" w:space="0"/>
              <w:bottom w:val="single" w:color="auto" w:sz="6" w:space="0"/>
              <w:right w:val="single" w:color="auto" w:sz="6" w:space="0"/>
            </w:tcBorders>
            <w:noWrap w:val="0"/>
            <w:vAlign w:val="center"/>
          </w:tcPr>
          <w:p w14:paraId="607D4747">
            <w:pPr>
              <w:pStyle w:val="10"/>
              <w:keepNext/>
              <w:spacing w:line="440" w:lineRule="exact"/>
              <w:ind w:left="63" w:right="63"/>
              <w:outlineLvl w:val="9"/>
              <w:rPr>
                <w:rFonts w:ascii="宋体" w:hAnsi="宋体"/>
                <w:color w:val="auto"/>
                <w:sz w:val="24"/>
              </w:rPr>
            </w:pPr>
          </w:p>
        </w:tc>
        <w:tc>
          <w:tcPr>
            <w:tcW w:w="880" w:type="dxa"/>
            <w:tcBorders>
              <w:top w:val="double" w:color="auto" w:sz="2" w:space="0"/>
              <w:left w:val="single" w:color="auto" w:sz="6" w:space="0"/>
              <w:bottom w:val="single" w:color="auto" w:sz="6" w:space="0"/>
              <w:right w:val="single" w:color="auto" w:sz="6" w:space="0"/>
            </w:tcBorders>
            <w:noWrap w:val="0"/>
            <w:vAlign w:val="center"/>
          </w:tcPr>
          <w:p w14:paraId="7C82951A">
            <w:pPr>
              <w:pStyle w:val="10"/>
              <w:keepNext/>
              <w:spacing w:line="440" w:lineRule="exact"/>
              <w:ind w:left="63" w:right="63"/>
              <w:outlineLvl w:val="9"/>
              <w:rPr>
                <w:rFonts w:ascii="宋体" w:hAnsi="宋体"/>
                <w:color w:val="auto"/>
                <w:sz w:val="24"/>
              </w:rPr>
            </w:pPr>
          </w:p>
        </w:tc>
        <w:tc>
          <w:tcPr>
            <w:tcW w:w="1020" w:type="dxa"/>
            <w:tcBorders>
              <w:top w:val="double" w:color="auto" w:sz="2" w:space="0"/>
              <w:left w:val="single" w:color="auto" w:sz="6" w:space="0"/>
              <w:bottom w:val="single" w:color="auto" w:sz="6" w:space="0"/>
              <w:right w:val="single" w:color="auto" w:sz="6" w:space="0"/>
            </w:tcBorders>
            <w:noWrap w:val="0"/>
            <w:vAlign w:val="center"/>
          </w:tcPr>
          <w:p w14:paraId="3E703872">
            <w:pPr>
              <w:pStyle w:val="10"/>
              <w:keepNext/>
              <w:spacing w:line="440" w:lineRule="exact"/>
              <w:ind w:left="63" w:right="63"/>
              <w:outlineLvl w:val="9"/>
              <w:rPr>
                <w:rFonts w:ascii="宋体" w:hAnsi="宋体"/>
                <w:color w:val="auto"/>
                <w:sz w:val="24"/>
              </w:rPr>
            </w:pPr>
          </w:p>
        </w:tc>
        <w:tc>
          <w:tcPr>
            <w:tcW w:w="1238" w:type="dxa"/>
            <w:tcBorders>
              <w:top w:val="double" w:color="auto" w:sz="2" w:space="0"/>
              <w:left w:val="single" w:color="auto" w:sz="6" w:space="0"/>
              <w:bottom w:val="single" w:color="auto" w:sz="6" w:space="0"/>
              <w:right w:val="single" w:color="auto" w:sz="6" w:space="0"/>
            </w:tcBorders>
            <w:noWrap w:val="0"/>
            <w:vAlign w:val="center"/>
          </w:tcPr>
          <w:p w14:paraId="0DF36440">
            <w:pPr>
              <w:pStyle w:val="10"/>
              <w:keepNext/>
              <w:spacing w:line="440" w:lineRule="exact"/>
              <w:ind w:left="63" w:right="63"/>
              <w:outlineLvl w:val="9"/>
              <w:rPr>
                <w:rFonts w:ascii="宋体" w:hAnsi="宋体"/>
                <w:color w:val="auto"/>
                <w:sz w:val="24"/>
              </w:rPr>
            </w:pPr>
          </w:p>
        </w:tc>
        <w:tc>
          <w:tcPr>
            <w:tcW w:w="1036" w:type="dxa"/>
            <w:tcBorders>
              <w:top w:val="double" w:color="auto" w:sz="2" w:space="0"/>
              <w:left w:val="single" w:color="auto" w:sz="6" w:space="0"/>
              <w:bottom w:val="single" w:color="auto" w:sz="6" w:space="0"/>
              <w:right w:val="single" w:color="auto" w:sz="6" w:space="0"/>
            </w:tcBorders>
            <w:noWrap w:val="0"/>
            <w:vAlign w:val="center"/>
          </w:tcPr>
          <w:p w14:paraId="475BB4A1">
            <w:pPr>
              <w:pStyle w:val="10"/>
              <w:keepNext/>
              <w:spacing w:line="440" w:lineRule="exact"/>
              <w:ind w:left="63" w:right="63"/>
              <w:outlineLvl w:val="9"/>
              <w:rPr>
                <w:rFonts w:ascii="宋体" w:hAnsi="宋体"/>
                <w:color w:val="auto"/>
                <w:sz w:val="24"/>
              </w:rPr>
            </w:pPr>
          </w:p>
        </w:tc>
        <w:tc>
          <w:tcPr>
            <w:tcW w:w="786" w:type="dxa"/>
            <w:tcBorders>
              <w:top w:val="double" w:color="auto" w:sz="2" w:space="0"/>
              <w:left w:val="single" w:color="auto" w:sz="6" w:space="0"/>
              <w:bottom w:val="single" w:color="auto" w:sz="6" w:space="0"/>
              <w:right w:val="single" w:color="auto" w:sz="12" w:space="0"/>
            </w:tcBorders>
            <w:noWrap w:val="0"/>
            <w:vAlign w:val="center"/>
          </w:tcPr>
          <w:p w14:paraId="3A755B85">
            <w:pPr>
              <w:pStyle w:val="10"/>
              <w:keepNext/>
              <w:spacing w:line="440" w:lineRule="exact"/>
              <w:ind w:left="63" w:right="63"/>
              <w:outlineLvl w:val="9"/>
              <w:rPr>
                <w:rFonts w:ascii="宋体" w:hAnsi="宋体"/>
                <w:color w:val="auto"/>
                <w:sz w:val="24"/>
              </w:rPr>
            </w:pPr>
          </w:p>
        </w:tc>
      </w:tr>
      <w:tr w14:paraId="35978B24">
        <w:tblPrEx>
          <w:tblCellMar>
            <w:top w:w="0" w:type="dxa"/>
            <w:left w:w="28" w:type="dxa"/>
            <w:bottom w:w="0" w:type="dxa"/>
            <w:right w:w="28" w:type="dxa"/>
          </w:tblCellMar>
        </w:tblPrEx>
        <w:trPr>
          <w:trHeight w:val="567" w:hRule="atLeast"/>
          <w:jc w:val="center"/>
        </w:trPr>
        <w:tc>
          <w:tcPr>
            <w:tcW w:w="865" w:type="dxa"/>
            <w:tcBorders>
              <w:top w:val="nil"/>
              <w:left w:val="single" w:color="auto" w:sz="12" w:space="0"/>
              <w:bottom w:val="single" w:color="auto" w:sz="6" w:space="0"/>
              <w:right w:val="single" w:color="auto" w:sz="6" w:space="0"/>
            </w:tcBorders>
            <w:noWrap w:val="0"/>
            <w:vAlign w:val="center"/>
          </w:tcPr>
          <w:p w14:paraId="4C62A8E1">
            <w:pPr>
              <w:pStyle w:val="10"/>
              <w:keepNext/>
              <w:spacing w:line="440" w:lineRule="exact"/>
              <w:ind w:left="63" w:right="63"/>
              <w:outlineLvl w:val="9"/>
              <w:rPr>
                <w:rFonts w:ascii="宋体" w:hAnsi="宋体"/>
                <w:color w:val="auto"/>
                <w:sz w:val="24"/>
              </w:rPr>
            </w:pPr>
          </w:p>
        </w:tc>
        <w:tc>
          <w:tcPr>
            <w:tcW w:w="1418" w:type="dxa"/>
            <w:tcBorders>
              <w:top w:val="nil"/>
              <w:left w:val="single" w:color="auto" w:sz="6" w:space="0"/>
              <w:bottom w:val="single" w:color="auto" w:sz="6" w:space="0"/>
              <w:right w:val="single" w:color="auto" w:sz="6" w:space="0"/>
            </w:tcBorders>
            <w:noWrap w:val="0"/>
            <w:vAlign w:val="center"/>
          </w:tcPr>
          <w:p w14:paraId="6AA65455">
            <w:pPr>
              <w:pStyle w:val="10"/>
              <w:keepNext/>
              <w:spacing w:line="440" w:lineRule="exact"/>
              <w:ind w:left="63" w:right="63"/>
              <w:outlineLvl w:val="9"/>
              <w:rPr>
                <w:rFonts w:ascii="宋体" w:hAnsi="宋体"/>
                <w:color w:val="auto"/>
                <w:sz w:val="24"/>
              </w:rPr>
            </w:pPr>
          </w:p>
        </w:tc>
        <w:tc>
          <w:tcPr>
            <w:tcW w:w="850" w:type="dxa"/>
            <w:tcBorders>
              <w:top w:val="nil"/>
              <w:left w:val="single" w:color="auto" w:sz="6" w:space="0"/>
              <w:bottom w:val="single" w:color="auto" w:sz="6" w:space="0"/>
              <w:right w:val="single" w:color="auto" w:sz="6" w:space="0"/>
            </w:tcBorders>
            <w:noWrap w:val="0"/>
            <w:vAlign w:val="center"/>
          </w:tcPr>
          <w:p w14:paraId="3CB338A3">
            <w:pPr>
              <w:pStyle w:val="10"/>
              <w:keepNext/>
              <w:spacing w:line="440" w:lineRule="exact"/>
              <w:ind w:left="63" w:right="63"/>
              <w:outlineLvl w:val="9"/>
              <w:rPr>
                <w:rFonts w:ascii="宋体" w:hAnsi="宋体"/>
                <w:color w:val="auto"/>
                <w:sz w:val="24"/>
              </w:rPr>
            </w:pPr>
          </w:p>
        </w:tc>
        <w:tc>
          <w:tcPr>
            <w:tcW w:w="1058" w:type="dxa"/>
            <w:tcBorders>
              <w:top w:val="nil"/>
              <w:left w:val="single" w:color="auto" w:sz="6" w:space="0"/>
              <w:bottom w:val="single" w:color="auto" w:sz="6" w:space="0"/>
              <w:right w:val="single" w:color="auto" w:sz="6" w:space="0"/>
            </w:tcBorders>
            <w:noWrap w:val="0"/>
            <w:vAlign w:val="center"/>
          </w:tcPr>
          <w:p w14:paraId="1EEFA765">
            <w:pPr>
              <w:pStyle w:val="10"/>
              <w:keepNext/>
              <w:spacing w:line="440" w:lineRule="exact"/>
              <w:ind w:left="63" w:right="63"/>
              <w:outlineLvl w:val="9"/>
              <w:rPr>
                <w:rFonts w:ascii="宋体" w:hAnsi="宋体"/>
                <w:color w:val="auto"/>
                <w:sz w:val="24"/>
              </w:rPr>
            </w:pPr>
          </w:p>
        </w:tc>
        <w:tc>
          <w:tcPr>
            <w:tcW w:w="880" w:type="dxa"/>
            <w:tcBorders>
              <w:top w:val="nil"/>
              <w:left w:val="single" w:color="auto" w:sz="6" w:space="0"/>
              <w:bottom w:val="single" w:color="auto" w:sz="6" w:space="0"/>
              <w:right w:val="single" w:color="auto" w:sz="6" w:space="0"/>
            </w:tcBorders>
            <w:noWrap w:val="0"/>
            <w:vAlign w:val="center"/>
          </w:tcPr>
          <w:p w14:paraId="60B3C71D">
            <w:pPr>
              <w:pStyle w:val="10"/>
              <w:keepNext/>
              <w:spacing w:line="440" w:lineRule="exact"/>
              <w:ind w:left="63" w:right="63"/>
              <w:outlineLvl w:val="9"/>
              <w:rPr>
                <w:rFonts w:ascii="宋体" w:hAnsi="宋体"/>
                <w:color w:val="auto"/>
                <w:sz w:val="24"/>
              </w:rPr>
            </w:pPr>
          </w:p>
        </w:tc>
        <w:tc>
          <w:tcPr>
            <w:tcW w:w="1020" w:type="dxa"/>
            <w:tcBorders>
              <w:top w:val="nil"/>
              <w:left w:val="single" w:color="auto" w:sz="6" w:space="0"/>
              <w:bottom w:val="single" w:color="auto" w:sz="6" w:space="0"/>
              <w:right w:val="single" w:color="auto" w:sz="6" w:space="0"/>
            </w:tcBorders>
            <w:noWrap w:val="0"/>
            <w:vAlign w:val="center"/>
          </w:tcPr>
          <w:p w14:paraId="23FB9B3A">
            <w:pPr>
              <w:pStyle w:val="10"/>
              <w:keepNext/>
              <w:spacing w:line="440" w:lineRule="exact"/>
              <w:ind w:left="63" w:right="63"/>
              <w:outlineLvl w:val="9"/>
              <w:rPr>
                <w:rFonts w:ascii="宋体" w:hAnsi="宋体"/>
                <w:color w:val="auto"/>
                <w:sz w:val="24"/>
              </w:rPr>
            </w:pPr>
          </w:p>
        </w:tc>
        <w:tc>
          <w:tcPr>
            <w:tcW w:w="1238" w:type="dxa"/>
            <w:tcBorders>
              <w:top w:val="nil"/>
              <w:left w:val="single" w:color="auto" w:sz="6" w:space="0"/>
              <w:bottom w:val="single" w:color="auto" w:sz="6" w:space="0"/>
              <w:right w:val="single" w:color="auto" w:sz="6" w:space="0"/>
            </w:tcBorders>
            <w:noWrap w:val="0"/>
            <w:vAlign w:val="center"/>
          </w:tcPr>
          <w:p w14:paraId="17A5E446">
            <w:pPr>
              <w:pStyle w:val="10"/>
              <w:keepNext/>
              <w:spacing w:line="440" w:lineRule="exact"/>
              <w:ind w:left="63" w:right="63"/>
              <w:outlineLvl w:val="9"/>
              <w:rPr>
                <w:rFonts w:ascii="宋体" w:hAnsi="宋体"/>
                <w:color w:val="auto"/>
                <w:sz w:val="24"/>
              </w:rPr>
            </w:pPr>
          </w:p>
        </w:tc>
        <w:tc>
          <w:tcPr>
            <w:tcW w:w="1036" w:type="dxa"/>
            <w:tcBorders>
              <w:top w:val="nil"/>
              <w:left w:val="single" w:color="auto" w:sz="6" w:space="0"/>
              <w:bottom w:val="single" w:color="auto" w:sz="6" w:space="0"/>
              <w:right w:val="single" w:color="auto" w:sz="6" w:space="0"/>
            </w:tcBorders>
            <w:noWrap w:val="0"/>
            <w:vAlign w:val="center"/>
          </w:tcPr>
          <w:p w14:paraId="1F564BE4">
            <w:pPr>
              <w:pStyle w:val="10"/>
              <w:keepNext/>
              <w:spacing w:line="440" w:lineRule="exact"/>
              <w:ind w:left="63" w:right="63"/>
              <w:outlineLvl w:val="9"/>
              <w:rPr>
                <w:rFonts w:ascii="宋体" w:hAnsi="宋体"/>
                <w:color w:val="auto"/>
                <w:sz w:val="24"/>
              </w:rPr>
            </w:pPr>
          </w:p>
        </w:tc>
        <w:tc>
          <w:tcPr>
            <w:tcW w:w="786" w:type="dxa"/>
            <w:tcBorders>
              <w:top w:val="nil"/>
              <w:left w:val="single" w:color="auto" w:sz="6" w:space="0"/>
              <w:bottom w:val="single" w:color="auto" w:sz="6" w:space="0"/>
              <w:right w:val="single" w:color="auto" w:sz="12" w:space="0"/>
            </w:tcBorders>
            <w:noWrap w:val="0"/>
            <w:vAlign w:val="center"/>
          </w:tcPr>
          <w:p w14:paraId="3B96F772">
            <w:pPr>
              <w:pStyle w:val="10"/>
              <w:keepNext/>
              <w:spacing w:line="440" w:lineRule="exact"/>
              <w:ind w:left="63" w:right="63"/>
              <w:outlineLvl w:val="9"/>
              <w:rPr>
                <w:rFonts w:ascii="宋体" w:hAnsi="宋体"/>
                <w:color w:val="auto"/>
                <w:sz w:val="24"/>
              </w:rPr>
            </w:pPr>
          </w:p>
        </w:tc>
      </w:tr>
      <w:tr w14:paraId="4BDFA275">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7865523">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CA1AFC8">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50801ABE">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59796F1F">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421D1E8">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435B19C3">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966BAD7">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561C4641">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32196AF9">
            <w:pPr>
              <w:pStyle w:val="10"/>
              <w:keepNext/>
              <w:spacing w:line="440" w:lineRule="exact"/>
              <w:ind w:left="63" w:right="63"/>
              <w:outlineLvl w:val="9"/>
              <w:rPr>
                <w:rFonts w:ascii="宋体" w:hAnsi="宋体"/>
                <w:color w:val="auto"/>
                <w:sz w:val="24"/>
              </w:rPr>
            </w:pPr>
          </w:p>
        </w:tc>
      </w:tr>
      <w:tr w14:paraId="4AA792FF">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29794049">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4E901DD">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BB49A50">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46DD8F8A">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158C05F">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6270E45">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213A3775">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16717204">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63D93B0">
            <w:pPr>
              <w:pStyle w:val="10"/>
              <w:keepNext/>
              <w:spacing w:line="440" w:lineRule="exact"/>
              <w:ind w:left="63" w:right="63"/>
              <w:outlineLvl w:val="9"/>
              <w:rPr>
                <w:rFonts w:ascii="宋体" w:hAnsi="宋体"/>
                <w:color w:val="auto"/>
                <w:sz w:val="24"/>
              </w:rPr>
            </w:pPr>
          </w:p>
        </w:tc>
      </w:tr>
      <w:tr w14:paraId="5286D5F2">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4C0804E9">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E95139D">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66951443">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DEC8771">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74408E4C">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2008C2F">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26461E10">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6E7DF1D5">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6DB2F31">
            <w:pPr>
              <w:pStyle w:val="10"/>
              <w:keepNext/>
              <w:spacing w:line="440" w:lineRule="exact"/>
              <w:ind w:left="63" w:right="63"/>
              <w:outlineLvl w:val="9"/>
              <w:rPr>
                <w:rFonts w:ascii="宋体" w:hAnsi="宋体"/>
                <w:color w:val="auto"/>
                <w:sz w:val="24"/>
              </w:rPr>
            </w:pPr>
          </w:p>
        </w:tc>
      </w:tr>
      <w:tr w14:paraId="5F0D6931">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395C5CF2">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BFDBFF0">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B3CC1BC">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F4F4DAA">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5FB23C0">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2C98BB0A">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FF4D5CC">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7A16A820">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6C53C945">
            <w:pPr>
              <w:pStyle w:val="10"/>
              <w:keepNext/>
              <w:spacing w:line="440" w:lineRule="exact"/>
              <w:ind w:left="63" w:right="63"/>
              <w:outlineLvl w:val="9"/>
              <w:rPr>
                <w:rFonts w:ascii="宋体" w:hAnsi="宋体"/>
                <w:color w:val="auto"/>
                <w:sz w:val="24"/>
              </w:rPr>
            </w:pPr>
          </w:p>
        </w:tc>
      </w:tr>
      <w:tr w14:paraId="78586267">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CBD1888">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973A3A4">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5CE4C52">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7D2E17CB">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64E6F93">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18D5074B">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0103E450">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27C333D8">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2903BCB2">
            <w:pPr>
              <w:pStyle w:val="10"/>
              <w:keepNext/>
              <w:spacing w:line="440" w:lineRule="exact"/>
              <w:ind w:left="63" w:right="63"/>
              <w:outlineLvl w:val="9"/>
              <w:rPr>
                <w:rFonts w:ascii="宋体" w:hAnsi="宋体"/>
                <w:color w:val="auto"/>
                <w:sz w:val="24"/>
              </w:rPr>
            </w:pPr>
          </w:p>
        </w:tc>
      </w:tr>
      <w:tr w14:paraId="43887F7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826854C">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7341AF9">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CF588DB">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2C615EAE">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01B1E465">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332305CB">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581EB973">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34CBD958">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70010D6">
            <w:pPr>
              <w:pStyle w:val="10"/>
              <w:keepNext/>
              <w:spacing w:line="440" w:lineRule="exact"/>
              <w:ind w:left="63" w:right="63"/>
              <w:outlineLvl w:val="9"/>
              <w:rPr>
                <w:rFonts w:ascii="宋体" w:hAnsi="宋体"/>
                <w:color w:val="auto"/>
                <w:sz w:val="24"/>
              </w:rPr>
            </w:pPr>
          </w:p>
        </w:tc>
      </w:tr>
      <w:tr w14:paraId="270A4E7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3A381E9">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180140A">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49B1E66">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122741F3">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7F04FA21">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46E2EB40">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575FF4E2">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1B6D7152">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28D9F54F">
            <w:pPr>
              <w:outlineLvl w:val="9"/>
              <w:rPr>
                <w:rFonts w:ascii="宋体" w:hAnsi="宋体" w:eastAsia="宋体"/>
                <w:color w:val="auto"/>
                <w:sz w:val="24"/>
              </w:rPr>
            </w:pPr>
          </w:p>
        </w:tc>
      </w:tr>
      <w:tr w14:paraId="5AE86E0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67580778">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9614AD4">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0214BDE">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4949E8E9">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B25E63C">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548FEB95">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C32CF56">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72FF642D">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691DC7F">
            <w:pPr>
              <w:pStyle w:val="10"/>
              <w:keepNext/>
              <w:spacing w:line="440" w:lineRule="exact"/>
              <w:ind w:left="63" w:right="63"/>
              <w:outlineLvl w:val="9"/>
              <w:rPr>
                <w:rFonts w:ascii="宋体" w:hAnsi="宋体"/>
                <w:color w:val="auto"/>
                <w:sz w:val="24"/>
              </w:rPr>
            </w:pPr>
          </w:p>
        </w:tc>
      </w:tr>
      <w:tr w14:paraId="3D46075D">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6B7482F0">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0730B90">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4B7E2B8D">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2AD443A9">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5DDA8739">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70D94456">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B036A45">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47574CCB">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0E08B3B9">
            <w:pPr>
              <w:outlineLvl w:val="9"/>
              <w:rPr>
                <w:rFonts w:ascii="宋体" w:hAnsi="宋体" w:eastAsia="宋体"/>
                <w:color w:val="auto"/>
                <w:sz w:val="24"/>
              </w:rPr>
            </w:pPr>
          </w:p>
        </w:tc>
      </w:tr>
      <w:tr w14:paraId="535F8AC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0C09583">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AA96F23">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21E0FEA3">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0BF1AD4F">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1517B28F">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31847D01">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6CF4CE43">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D20F9C0">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73F4A385">
            <w:pPr>
              <w:outlineLvl w:val="9"/>
              <w:rPr>
                <w:rFonts w:ascii="宋体" w:hAnsi="宋体" w:eastAsia="宋体"/>
                <w:color w:val="auto"/>
                <w:sz w:val="24"/>
              </w:rPr>
            </w:pPr>
          </w:p>
        </w:tc>
      </w:tr>
      <w:tr w14:paraId="29DC7D1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4689E0FB">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B0A61C1">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E09C0B5">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4CBD0123">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3E8A5DEB">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E640378">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4163772">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0CDF1FD">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A8D0064">
            <w:pPr>
              <w:outlineLvl w:val="9"/>
              <w:rPr>
                <w:rFonts w:ascii="宋体" w:hAnsi="宋体" w:eastAsia="宋体"/>
                <w:color w:val="auto"/>
                <w:sz w:val="24"/>
              </w:rPr>
            </w:pPr>
          </w:p>
        </w:tc>
      </w:tr>
      <w:tr w14:paraId="1B174BDB">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692635E8">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DA82CA8">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0DA90193">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61ABB4AE">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42A762C1">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C57B73C">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4030D59E">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018975CF">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C1DE355">
            <w:pPr>
              <w:outlineLvl w:val="9"/>
              <w:rPr>
                <w:rFonts w:ascii="宋体" w:hAnsi="宋体" w:eastAsia="宋体"/>
                <w:color w:val="auto"/>
                <w:sz w:val="24"/>
              </w:rPr>
            </w:pPr>
          </w:p>
        </w:tc>
      </w:tr>
    </w:tbl>
    <w:p w14:paraId="3B113143">
      <w:pPr>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77B94B3F">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5</w:t>
      </w:r>
      <w:r>
        <w:rPr>
          <w:rFonts w:hint="eastAsia" w:ascii="宋体" w:hAnsi="宋体"/>
          <w:color w:val="auto"/>
          <w:sz w:val="24"/>
        </w:rPr>
        <w:t>：</w:t>
      </w:r>
    </w:p>
    <w:p w14:paraId="1281D9EB">
      <w:pPr>
        <w:jc w:val="center"/>
        <w:rPr>
          <w:rFonts w:hint="eastAsia"/>
        </w:rPr>
      </w:pPr>
      <w:r>
        <w:rPr>
          <w:rFonts w:hint="eastAsia"/>
        </w:rPr>
        <w:t>承包人主要施工管理人员表</w:t>
      </w:r>
    </w:p>
    <w:tbl>
      <w:tblPr>
        <w:tblStyle w:val="19"/>
        <w:tblW w:w="0" w:type="auto"/>
        <w:jc w:val="center"/>
        <w:tblLayout w:type="fixed"/>
        <w:tblCellMar>
          <w:top w:w="0" w:type="dxa"/>
          <w:left w:w="28" w:type="dxa"/>
          <w:bottom w:w="0" w:type="dxa"/>
          <w:right w:w="28" w:type="dxa"/>
        </w:tblCellMar>
      </w:tblPr>
      <w:tblGrid>
        <w:gridCol w:w="1871"/>
        <w:gridCol w:w="1418"/>
        <w:gridCol w:w="1134"/>
        <w:gridCol w:w="1134"/>
        <w:gridCol w:w="3544"/>
      </w:tblGrid>
      <w:tr w14:paraId="5BB6D960">
        <w:tblPrEx>
          <w:tblCellMar>
            <w:top w:w="0" w:type="dxa"/>
            <w:left w:w="28" w:type="dxa"/>
            <w:bottom w:w="0" w:type="dxa"/>
            <w:right w:w="28" w:type="dxa"/>
          </w:tblCellMar>
        </w:tblPrEx>
        <w:trPr>
          <w:trHeight w:val="527" w:hRule="atLeast"/>
          <w:jc w:val="center"/>
        </w:trPr>
        <w:tc>
          <w:tcPr>
            <w:tcW w:w="1871" w:type="dxa"/>
            <w:tcBorders>
              <w:top w:val="single" w:color="auto" w:sz="12" w:space="0"/>
              <w:left w:val="single" w:color="auto" w:sz="12" w:space="0"/>
              <w:bottom w:val="double" w:color="auto" w:sz="2" w:space="0"/>
              <w:right w:val="single" w:color="auto" w:sz="6" w:space="0"/>
            </w:tcBorders>
            <w:noWrap w:val="0"/>
            <w:vAlign w:val="center"/>
          </w:tcPr>
          <w:p w14:paraId="2214675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名    称</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34075FE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姓名</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A18D5D3">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职务</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9CE4D1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职称</w:t>
            </w:r>
          </w:p>
        </w:tc>
        <w:tc>
          <w:tcPr>
            <w:tcW w:w="3544" w:type="dxa"/>
            <w:tcBorders>
              <w:top w:val="single" w:color="auto" w:sz="12" w:space="0"/>
              <w:left w:val="single" w:color="auto" w:sz="6" w:space="0"/>
              <w:bottom w:val="double" w:color="auto" w:sz="2" w:space="0"/>
              <w:right w:val="single" w:color="auto" w:sz="12" w:space="0"/>
            </w:tcBorders>
            <w:noWrap w:val="0"/>
            <w:vAlign w:val="center"/>
          </w:tcPr>
          <w:p w14:paraId="453F858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主要资历、经验及承担过的项目</w:t>
            </w:r>
          </w:p>
        </w:tc>
      </w:tr>
      <w:tr w14:paraId="1AA22635">
        <w:tblPrEx>
          <w:tblCellMar>
            <w:top w:w="0" w:type="dxa"/>
            <w:left w:w="28" w:type="dxa"/>
            <w:bottom w:w="0" w:type="dxa"/>
            <w:right w:w="28" w:type="dxa"/>
          </w:tblCellMar>
        </w:tblPrEx>
        <w:trPr>
          <w:trHeight w:val="487" w:hRule="atLeast"/>
          <w:jc w:val="center"/>
        </w:trPr>
        <w:tc>
          <w:tcPr>
            <w:tcW w:w="9101" w:type="dxa"/>
            <w:gridSpan w:val="5"/>
            <w:tcBorders>
              <w:top w:val="double" w:color="auto" w:sz="2" w:space="0"/>
              <w:left w:val="single" w:color="auto" w:sz="12" w:space="0"/>
              <w:bottom w:val="single" w:color="auto" w:sz="6" w:space="0"/>
              <w:right w:val="single" w:color="auto" w:sz="12" w:space="0"/>
            </w:tcBorders>
            <w:noWrap w:val="0"/>
            <w:vAlign w:val="center"/>
          </w:tcPr>
          <w:p w14:paraId="6D72B27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一、总部人员</w:t>
            </w:r>
          </w:p>
        </w:tc>
      </w:tr>
      <w:tr w14:paraId="435FC645">
        <w:tblPrEx>
          <w:tblCellMar>
            <w:top w:w="0" w:type="dxa"/>
            <w:left w:w="28" w:type="dxa"/>
            <w:bottom w:w="0" w:type="dxa"/>
            <w:right w:w="28" w:type="dxa"/>
          </w:tblCellMar>
        </w:tblPrEx>
        <w:trPr>
          <w:trHeight w:val="117" w:hRule="atLeast"/>
          <w:jc w:val="center"/>
        </w:trPr>
        <w:tc>
          <w:tcPr>
            <w:tcW w:w="1871" w:type="dxa"/>
            <w:tcBorders>
              <w:top w:val="nil"/>
              <w:left w:val="single" w:color="auto" w:sz="12" w:space="0"/>
              <w:bottom w:val="nil"/>
              <w:right w:val="single" w:color="auto" w:sz="6" w:space="0"/>
            </w:tcBorders>
            <w:noWrap w:val="0"/>
            <w:vAlign w:val="center"/>
          </w:tcPr>
          <w:p w14:paraId="7BC4D158">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项目主管</w:t>
            </w:r>
          </w:p>
        </w:tc>
        <w:tc>
          <w:tcPr>
            <w:tcW w:w="1418" w:type="dxa"/>
            <w:tcBorders>
              <w:top w:val="nil"/>
              <w:left w:val="single" w:color="auto" w:sz="6" w:space="0"/>
              <w:bottom w:val="single" w:color="auto" w:sz="6" w:space="0"/>
              <w:right w:val="single" w:color="auto" w:sz="6" w:space="0"/>
            </w:tcBorders>
            <w:noWrap w:val="0"/>
            <w:vAlign w:val="center"/>
          </w:tcPr>
          <w:p w14:paraId="65209E4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nil"/>
              <w:left w:val="single" w:color="auto" w:sz="6" w:space="0"/>
              <w:bottom w:val="single" w:color="auto" w:sz="6" w:space="0"/>
              <w:right w:val="single" w:color="auto" w:sz="6" w:space="0"/>
            </w:tcBorders>
            <w:noWrap w:val="0"/>
            <w:vAlign w:val="center"/>
          </w:tcPr>
          <w:p w14:paraId="46C168BE">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nil"/>
              <w:left w:val="single" w:color="auto" w:sz="6" w:space="0"/>
              <w:bottom w:val="single" w:color="auto" w:sz="6" w:space="0"/>
              <w:right w:val="single" w:color="auto" w:sz="6" w:space="0"/>
            </w:tcBorders>
            <w:noWrap w:val="0"/>
            <w:vAlign w:val="center"/>
          </w:tcPr>
          <w:p w14:paraId="7C0BA8AD">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nil"/>
              <w:left w:val="single" w:color="auto" w:sz="6" w:space="0"/>
              <w:bottom w:val="single" w:color="auto" w:sz="6" w:space="0"/>
              <w:right w:val="single" w:color="auto" w:sz="12" w:space="0"/>
            </w:tcBorders>
            <w:noWrap w:val="0"/>
            <w:vAlign w:val="center"/>
          </w:tcPr>
          <w:p w14:paraId="0B21555A">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32E0D0CC">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nil"/>
              <w:right w:val="single" w:color="auto" w:sz="6" w:space="0"/>
            </w:tcBorders>
            <w:noWrap w:val="0"/>
            <w:vAlign w:val="center"/>
          </w:tcPr>
          <w:p w14:paraId="070179E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45FE8A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F5B789C">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4D0B6CC">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3FE6ED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0449F4F9">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6BA5A1D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A203FC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C2E3414">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D4C693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C530A64">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2D5DA033">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7E32D8A2">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EB865B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E3E5FD">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3569178">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3A18952">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30BD2219">
        <w:tblPrEx>
          <w:tblCellMar>
            <w:top w:w="0" w:type="dxa"/>
            <w:left w:w="28" w:type="dxa"/>
            <w:bottom w:w="0" w:type="dxa"/>
            <w:right w:w="28" w:type="dxa"/>
          </w:tblCellMar>
        </w:tblPrEx>
        <w:trPr>
          <w:jc w:val="center"/>
        </w:trPr>
        <w:tc>
          <w:tcPr>
            <w:tcW w:w="9101" w:type="dxa"/>
            <w:gridSpan w:val="5"/>
            <w:tcBorders>
              <w:top w:val="single" w:color="auto" w:sz="6" w:space="0"/>
              <w:left w:val="single" w:color="auto" w:sz="12" w:space="0"/>
              <w:bottom w:val="single" w:color="auto" w:sz="6" w:space="0"/>
              <w:right w:val="single" w:color="auto" w:sz="12" w:space="0"/>
            </w:tcBorders>
            <w:noWrap w:val="0"/>
            <w:vAlign w:val="center"/>
          </w:tcPr>
          <w:p w14:paraId="5814C05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二、现场人员</w:t>
            </w:r>
          </w:p>
        </w:tc>
      </w:tr>
      <w:tr w14:paraId="51AD7CD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3622BC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项目经理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70DAF5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A01DB3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B7DABB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7F3088D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4DC90C0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6ACEDDE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项目副经理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322C96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519FA0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0AD6FC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3F9EF55">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1CB6863">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6CADF5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技术负责人</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8BDC35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558E51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728D03">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90531A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0B68029">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0D25D3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造价管理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8768333">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F2F50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4362F70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4730C4B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5151315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C78C3C2">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质量管理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8ABC54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B0C923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3F2D6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8A9458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39360F5">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3D7B2D22">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材料管理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3968D0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B71DFB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F40900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F50EFD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29DB421">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CDD156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计划管理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98FEAD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B4B601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1371CD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6813D0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CE82EE4">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7808F80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安全管理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D8E4EB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FADE16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4F5AB8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49AC24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76CBA3E0">
        <w:tblPrEx>
          <w:tblCellMar>
            <w:top w:w="0" w:type="dxa"/>
            <w:left w:w="28" w:type="dxa"/>
            <w:bottom w:w="0" w:type="dxa"/>
            <w:right w:w="28" w:type="dxa"/>
          </w:tblCellMar>
        </w:tblPrEx>
        <w:trPr>
          <w:jc w:val="center"/>
        </w:trPr>
        <w:tc>
          <w:tcPr>
            <w:tcW w:w="1871" w:type="dxa"/>
            <w:vMerge w:val="restart"/>
            <w:tcBorders>
              <w:top w:val="nil"/>
              <w:left w:val="single" w:color="auto" w:sz="12" w:space="0"/>
              <w:bottom w:val="single" w:color="auto" w:sz="6" w:space="0"/>
              <w:right w:val="single" w:color="auto" w:sz="6" w:space="0"/>
            </w:tcBorders>
            <w:noWrap w:val="0"/>
            <w:vAlign w:val="center"/>
          </w:tcPr>
          <w:p w14:paraId="7DF0114F">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6A45DD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D7E504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7F72B9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51D8C3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23F264C3">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152A97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418" w:type="dxa"/>
            <w:tcBorders>
              <w:top w:val="single" w:color="auto" w:sz="6" w:space="0"/>
              <w:left w:val="single" w:color="auto" w:sz="6" w:space="0"/>
              <w:bottom w:val="nil"/>
              <w:right w:val="single" w:color="auto" w:sz="6" w:space="0"/>
            </w:tcBorders>
            <w:noWrap w:val="0"/>
            <w:vAlign w:val="center"/>
          </w:tcPr>
          <w:p w14:paraId="44357D1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nil"/>
              <w:right w:val="single" w:color="auto" w:sz="6" w:space="0"/>
            </w:tcBorders>
            <w:noWrap w:val="0"/>
            <w:vAlign w:val="center"/>
          </w:tcPr>
          <w:p w14:paraId="5D6EDED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nil"/>
              <w:right w:val="single" w:color="auto" w:sz="6" w:space="0"/>
            </w:tcBorders>
            <w:noWrap w:val="0"/>
            <w:vAlign w:val="center"/>
          </w:tcPr>
          <w:p w14:paraId="37FD2F3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nil"/>
              <w:right w:val="single" w:color="auto" w:sz="12" w:space="0"/>
            </w:tcBorders>
            <w:noWrap w:val="0"/>
            <w:vAlign w:val="center"/>
          </w:tcPr>
          <w:p w14:paraId="691F7F55">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4B5925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F0845F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773D2D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6448D4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2C3A11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58703F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41B9003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4F030E5">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E1C8DE3">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A1F8AE8">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4A8C6EC">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4C4AEE2">
            <w:pPr>
              <w:pStyle w:val="10"/>
              <w:keepNext/>
              <w:spacing w:line="440" w:lineRule="exact"/>
              <w:ind w:left="63" w:right="63"/>
              <w:jc w:val="both"/>
              <w:outlineLvl w:val="9"/>
              <w:rPr>
                <w:rFonts w:ascii="宋体" w:hAnsi="宋体"/>
                <w:color w:val="auto"/>
                <w:sz w:val="24"/>
              </w:rPr>
            </w:pPr>
          </w:p>
        </w:tc>
      </w:tr>
      <w:tr w14:paraId="07517EDA">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6FF6DBD">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426ECF5">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ED6856A">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B31A22D">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061BB7D">
            <w:pPr>
              <w:pStyle w:val="10"/>
              <w:keepNext/>
              <w:spacing w:line="440" w:lineRule="exact"/>
              <w:ind w:left="63" w:right="63"/>
              <w:jc w:val="both"/>
              <w:outlineLvl w:val="9"/>
              <w:rPr>
                <w:rFonts w:ascii="宋体" w:hAnsi="宋体"/>
                <w:color w:val="auto"/>
                <w:sz w:val="24"/>
              </w:rPr>
            </w:pPr>
          </w:p>
        </w:tc>
      </w:tr>
      <w:tr w14:paraId="4DFCF2D5">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A0329C3">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12" w:space="0"/>
              <w:right w:val="single" w:color="auto" w:sz="6" w:space="0"/>
            </w:tcBorders>
            <w:noWrap w:val="0"/>
            <w:vAlign w:val="center"/>
          </w:tcPr>
          <w:p w14:paraId="6AF4A171">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1B5D7517">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0E0E417B">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12" w:space="0"/>
              <w:right w:val="single" w:color="auto" w:sz="12" w:space="0"/>
            </w:tcBorders>
            <w:noWrap w:val="0"/>
            <w:vAlign w:val="center"/>
          </w:tcPr>
          <w:p w14:paraId="3020589A">
            <w:pPr>
              <w:pStyle w:val="10"/>
              <w:keepNext/>
              <w:spacing w:line="440" w:lineRule="exact"/>
              <w:ind w:left="63" w:right="63"/>
              <w:jc w:val="both"/>
              <w:outlineLvl w:val="9"/>
              <w:rPr>
                <w:rFonts w:ascii="宋体" w:hAnsi="宋体"/>
                <w:color w:val="auto"/>
                <w:sz w:val="24"/>
              </w:rPr>
            </w:pPr>
          </w:p>
        </w:tc>
      </w:tr>
    </w:tbl>
    <w:p w14:paraId="3AB62F08">
      <w:pPr>
        <w:spacing w:before="0" w:beforeLines="0" w:after="0" w:afterLines="0" w:line="240" w:lineRule="auto"/>
        <w:ind w:left="0" w:leftChars="0" w:firstLine="0" w:firstLineChars="0"/>
        <w:jc w:val="left"/>
        <w:outlineLvl w:val="9"/>
        <w:rPr>
          <w:rFonts w:hint="eastAsia" w:ascii="宋体" w:hAnsi="宋体"/>
          <w:color w:val="auto"/>
          <w:sz w:val="24"/>
        </w:rPr>
      </w:pPr>
    </w:p>
    <w:p w14:paraId="084BBD25">
      <w:pPr>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5AC5E46E">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6</w:t>
      </w:r>
      <w:r>
        <w:rPr>
          <w:rFonts w:hint="eastAsia" w:ascii="宋体" w:hAnsi="宋体"/>
          <w:color w:val="auto"/>
          <w:sz w:val="24"/>
        </w:rPr>
        <w:t>：</w:t>
      </w:r>
    </w:p>
    <w:p w14:paraId="743781FD">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履约担保</w:t>
      </w:r>
    </w:p>
    <w:p w14:paraId="2A66C41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rPr>
        <w:t>（发包人名称）：</w:t>
      </w:r>
    </w:p>
    <w:p w14:paraId="1B9835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鉴于</w:t>
      </w:r>
      <w:r>
        <w:rPr>
          <w:rFonts w:hint="eastAsia" w:ascii="宋体" w:hAnsi="宋体"/>
          <w:color w:val="auto"/>
          <w:sz w:val="24"/>
          <w:u w:val="single"/>
        </w:rPr>
        <w:t xml:space="preserve">       </w:t>
      </w:r>
      <w:r>
        <w:rPr>
          <w:rFonts w:hint="eastAsia" w:ascii="宋体" w:hAnsi="宋体"/>
          <w:color w:val="auto"/>
          <w:sz w:val="24"/>
        </w:rPr>
        <w:t xml:space="preserve">（发包人名称，以下简称“发包人”）与 </w:t>
      </w:r>
      <w:r>
        <w:rPr>
          <w:rFonts w:hint="eastAsia" w:ascii="宋体" w:hAnsi="宋体"/>
          <w:color w:val="auto"/>
          <w:sz w:val="24"/>
          <w:u w:val="single"/>
        </w:rPr>
        <w:t xml:space="preserve">               </w:t>
      </w:r>
      <w:r>
        <w:rPr>
          <w:rFonts w:hint="eastAsia" w:ascii="宋体" w:hAnsi="宋体"/>
          <w:color w:val="auto"/>
          <w:sz w:val="24"/>
        </w:rPr>
        <w:t>（承包人名称）（以下称“承包人”）于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日就</w:t>
      </w:r>
      <w:r>
        <w:rPr>
          <w:rFonts w:hint="eastAsia" w:ascii="宋体" w:hAnsi="宋体"/>
          <w:color w:val="auto"/>
          <w:sz w:val="24"/>
          <w:u w:val="single"/>
        </w:rPr>
        <w:t xml:space="preserve">                   </w:t>
      </w:r>
      <w:r>
        <w:rPr>
          <w:rFonts w:hint="eastAsia" w:ascii="宋体" w:hAnsi="宋体"/>
          <w:color w:val="auto"/>
          <w:sz w:val="24"/>
        </w:rPr>
        <w:t xml:space="preserve">（工程名称）施工及有关事项协商一致共同签订《建设工程施工合同》。我方愿意无条件地、不可撤销地就承包人履行与你方签订的合同，向你方提供连带责任担保。 </w:t>
      </w:r>
    </w:p>
    <w:p w14:paraId="55EC6E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1. 担保金额人民币（大写）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 xml:space="preserve">           </w:t>
      </w:r>
      <w:r>
        <w:rPr>
          <w:rFonts w:hint="eastAsia" w:ascii="宋体" w:hAnsi="宋体"/>
          <w:color w:val="auto"/>
          <w:sz w:val="24"/>
        </w:rPr>
        <w:t>）。</w:t>
      </w:r>
    </w:p>
    <w:p w14:paraId="30019A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2. 担保有效期自你方与承包人签订的合同生效之日起至你方签发或应签发工程接收证书之日止。</w:t>
      </w:r>
    </w:p>
    <w:p w14:paraId="43BDC1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3. 在本担保有效期内，因承包人违反合同约定的义务给你方造成经济损失时，我方在收到你方以书面形式提出的在担保金额内的赔偿要求后，在7天内无条件支付。</w:t>
      </w:r>
    </w:p>
    <w:p w14:paraId="05FFB0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4. 你方和承包人按合同约定变更合同时，我方承担本担保规定的义务不变。</w:t>
      </w:r>
    </w:p>
    <w:p w14:paraId="629F50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5. 因本保函发生的纠纷，可由双方协商解决，协商不成的，任何一方均可提请</w:t>
      </w:r>
      <w:r>
        <w:rPr>
          <w:rFonts w:hint="eastAsia" w:ascii="宋体" w:hAnsi="宋体"/>
          <w:color w:val="auto"/>
          <w:sz w:val="24"/>
          <w:u w:val="single"/>
        </w:rPr>
        <w:t xml:space="preserve">        </w:t>
      </w:r>
      <w:r>
        <w:rPr>
          <w:rFonts w:hint="eastAsia" w:ascii="宋体" w:hAnsi="宋体"/>
          <w:color w:val="auto"/>
          <w:sz w:val="24"/>
        </w:rPr>
        <w:t>仲裁委员会仲裁。</w:t>
      </w:r>
    </w:p>
    <w:p w14:paraId="02BEB9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6. 本保函自我方法定代表人（或其授权代理人）签字并加盖公章之日起生效。</w:t>
      </w:r>
    </w:p>
    <w:p w14:paraId="6354056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p>
    <w:p w14:paraId="4C14D252">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担 保 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（盖单位章）</w:t>
      </w:r>
    </w:p>
    <w:p w14:paraId="14643000">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4D790634">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地    址：</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027FB7A4">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1844E877">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电    话：</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 xml:space="preserve">， </w:t>
      </w:r>
    </w:p>
    <w:p w14:paraId="6E119EA9">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传    真：</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7D0EC8AF">
      <w:pPr>
        <w:keepNext w:val="0"/>
        <w:keepLines w:val="0"/>
        <w:pageBreakBefore w:val="0"/>
        <w:widowControl w:val="0"/>
        <w:kinsoku/>
        <w:wordWrap/>
        <w:overflowPunct/>
        <w:topLinePunct w:val="0"/>
        <w:autoSpaceDE/>
        <w:autoSpaceDN/>
        <w:bidi w:val="0"/>
        <w:adjustRightInd/>
        <w:snapToGrid/>
        <w:spacing w:line="240" w:lineRule="auto"/>
        <w:ind w:left="1519" w:hanging="1519" w:hangingChars="633"/>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日</w:t>
      </w:r>
    </w:p>
    <w:p w14:paraId="5720434E">
      <w:pPr>
        <w:spacing w:before="0" w:beforeLines="0" w:after="0" w:afterLines="0" w:line="240" w:lineRule="auto"/>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4701FA7B">
      <w:pPr>
        <w:spacing w:line="360" w:lineRule="auto"/>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7</w:t>
      </w:r>
      <w:r>
        <w:rPr>
          <w:rFonts w:hint="eastAsia" w:ascii="宋体" w:hAnsi="宋体"/>
          <w:color w:val="auto"/>
          <w:sz w:val="24"/>
        </w:rPr>
        <w:t>：</w:t>
      </w:r>
    </w:p>
    <w:p w14:paraId="335373A8">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jc w:val="center"/>
        <w:textAlignment w:val="auto"/>
        <w:outlineLvl w:val="9"/>
        <w:rPr>
          <w:rFonts w:hint="eastAsia" w:ascii="宋体" w:hAnsi="宋体"/>
          <w:color w:val="auto"/>
          <w:sz w:val="24"/>
        </w:rPr>
      </w:pPr>
      <w:r>
        <w:rPr>
          <w:rFonts w:hint="eastAsia" w:ascii="宋体" w:hAnsi="宋体"/>
          <w:color w:val="auto"/>
          <w:sz w:val="24"/>
        </w:rPr>
        <w:t>预付款担保</w:t>
      </w:r>
    </w:p>
    <w:p w14:paraId="0891096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rPr>
        <w:t xml:space="preserve"> （发包人名称）：</w:t>
      </w:r>
    </w:p>
    <w:p w14:paraId="3A646F0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p>
    <w:p w14:paraId="7CBFDA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根据</w:t>
      </w:r>
      <w:r>
        <w:rPr>
          <w:rFonts w:hint="eastAsia" w:ascii="宋体" w:hAnsi="宋体"/>
          <w:color w:val="auto"/>
          <w:sz w:val="24"/>
          <w:u w:val="single"/>
        </w:rPr>
        <w:t xml:space="preserve">       </w:t>
      </w:r>
      <w:r>
        <w:rPr>
          <w:rFonts w:hint="eastAsia" w:ascii="宋体" w:hAnsi="宋体"/>
          <w:color w:val="auto"/>
          <w:sz w:val="24"/>
        </w:rPr>
        <w:t>（承包人名称）（以下称“承包人”）与</w:t>
      </w:r>
      <w:r>
        <w:rPr>
          <w:rFonts w:hint="eastAsia" w:ascii="宋体" w:hAnsi="宋体"/>
          <w:color w:val="auto"/>
          <w:sz w:val="24"/>
          <w:u w:val="single"/>
        </w:rPr>
        <w:t xml:space="preserve">        </w:t>
      </w:r>
      <w:r>
        <w:rPr>
          <w:rFonts w:hint="eastAsia" w:ascii="宋体" w:hAnsi="宋体"/>
          <w:color w:val="auto"/>
          <w:sz w:val="24"/>
        </w:rPr>
        <w:t>（发包人名称）（以下简称“发包人”）于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日签订的</w:t>
      </w:r>
      <w:r>
        <w:rPr>
          <w:rFonts w:hint="eastAsia" w:ascii="宋体" w:hAnsi="宋体"/>
          <w:color w:val="auto"/>
          <w:sz w:val="24"/>
          <w:u w:val="single"/>
        </w:rPr>
        <w:t xml:space="preserve">                 </w:t>
      </w:r>
      <w:r>
        <w:rPr>
          <w:rFonts w:hint="eastAsia" w:ascii="宋体" w:hAnsi="宋体"/>
          <w:color w:val="auto"/>
          <w:sz w:val="24"/>
        </w:rPr>
        <w:t>（工程名称）《建设工程施工合同》，承包人按约定的金额向你方提交一份预付款担保，即有权得到你方支付相等金额的预付款。我方愿意就你方提供给承包人的预付款为承包人提供连带责任担保。</w:t>
      </w:r>
    </w:p>
    <w:p w14:paraId="19AA7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1. 担保金额人民币（大写）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 xml:space="preserve">           </w:t>
      </w:r>
      <w:r>
        <w:rPr>
          <w:rFonts w:hint="eastAsia" w:ascii="宋体" w:hAnsi="宋体"/>
          <w:color w:val="auto"/>
          <w:sz w:val="24"/>
        </w:rPr>
        <w:t>）。</w:t>
      </w:r>
    </w:p>
    <w:p w14:paraId="55E592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2. 担保有效期自预付款支付给承包人起生效，至你方签发的进度款支付证书说明已完全扣清止。</w:t>
      </w:r>
    </w:p>
    <w:p w14:paraId="4E337A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DCF4A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4. 你方和承包人按合同约定变更合同时，我方承担本保函规定的义务不变。</w:t>
      </w:r>
    </w:p>
    <w:p w14:paraId="2843A74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5. 因本保函发生的纠纷，可由双方协商解决，协商不成的，任何一方均可提请</w:t>
      </w:r>
      <w:r>
        <w:rPr>
          <w:rFonts w:hint="eastAsia" w:ascii="宋体" w:hAnsi="宋体"/>
          <w:color w:val="auto"/>
          <w:sz w:val="24"/>
          <w:u w:val="single"/>
        </w:rPr>
        <w:t xml:space="preserve">        </w:t>
      </w:r>
      <w:r>
        <w:rPr>
          <w:rFonts w:hint="eastAsia" w:ascii="宋体" w:hAnsi="宋体"/>
          <w:color w:val="auto"/>
          <w:sz w:val="24"/>
        </w:rPr>
        <w:t>仲裁委员会仲裁。</w:t>
      </w:r>
    </w:p>
    <w:p w14:paraId="7619014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6. 本保函自我方法定代表人（或其授权代理人）签字并加盖公章之日起生效。</w:t>
      </w:r>
    </w:p>
    <w:p w14:paraId="10176D0B">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担保人：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（盖单位章）</w:t>
      </w:r>
    </w:p>
    <w:p w14:paraId="7F34C266">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6F2FD964">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地    址：</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ab/>
      </w:r>
    </w:p>
    <w:p w14:paraId="7A1E892C">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u w:val="single"/>
        </w:rPr>
      </w:pPr>
      <w:r>
        <w:rPr>
          <w:rFonts w:hint="eastAsia" w:ascii="宋体" w:hAnsi="宋体"/>
          <w:color w:val="auto"/>
          <w:sz w:val="24"/>
        </w:rPr>
        <w:t>电    话：</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rPr>
        <w:tab/>
      </w:r>
    </w:p>
    <w:p w14:paraId="35B5151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42279DC0">
      <w:pPr>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1F62052B">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8</w:t>
      </w:r>
      <w:r>
        <w:rPr>
          <w:rFonts w:hint="eastAsia" w:ascii="宋体" w:hAnsi="宋体"/>
          <w:color w:val="auto"/>
          <w:sz w:val="24"/>
        </w:rPr>
        <w:t xml:space="preserve">:  </w:t>
      </w:r>
    </w:p>
    <w:p w14:paraId="7DDA5A16">
      <w:pPr>
        <w:keepNext w:val="0"/>
        <w:keepLines w:val="0"/>
        <w:pageBreakBefore w:val="0"/>
        <w:widowControl w:val="0"/>
        <w:kinsoku/>
        <w:wordWrap/>
        <w:overflowPunct/>
        <w:topLinePunct w:val="0"/>
        <w:autoSpaceDN/>
        <w:bidi w:val="0"/>
        <w:adjustRightInd/>
        <w:snapToGrid/>
        <w:spacing w:before="156" w:beforeLines="50" w:after="156" w:afterLines="50" w:line="360" w:lineRule="auto"/>
        <w:jc w:val="center"/>
        <w:textAlignment w:val="auto"/>
        <w:outlineLvl w:val="9"/>
        <w:rPr>
          <w:rFonts w:hint="eastAsia" w:ascii="宋体" w:hAnsi="宋体"/>
          <w:color w:val="auto"/>
          <w:sz w:val="24"/>
        </w:rPr>
      </w:pPr>
      <w:r>
        <w:rPr>
          <w:rFonts w:hint="eastAsia" w:ascii="宋体" w:hAnsi="宋体"/>
          <w:color w:val="auto"/>
          <w:sz w:val="24"/>
        </w:rPr>
        <w:t>支付担保</w:t>
      </w:r>
    </w:p>
    <w:p w14:paraId="5252C335">
      <w:pPr>
        <w:keepNext w:val="0"/>
        <w:keepLines w:val="0"/>
        <w:pageBreakBefore w:val="0"/>
        <w:widowControl w:val="0"/>
        <w:kinsoku/>
        <w:wordWrap/>
        <w:overflowPunct/>
        <w:topLinePunct w:val="0"/>
        <w:autoSpaceDN/>
        <w:bidi w:val="0"/>
        <w:adjustRightInd/>
        <w:snapToGrid/>
        <w:spacing w:line="360" w:lineRule="auto"/>
        <w:jc w:val="left"/>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（承包人）：</w:t>
      </w:r>
    </w:p>
    <w:p w14:paraId="35C035B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鉴于你方作为承包人已经与</w:t>
      </w:r>
      <w:r>
        <w:rPr>
          <w:rFonts w:hint="eastAsia" w:ascii="宋体" w:hAnsi="宋体"/>
          <w:color w:val="auto"/>
          <w:sz w:val="24"/>
          <w:u w:val="single"/>
        </w:rPr>
        <w:t xml:space="preserve">             </w:t>
      </w:r>
      <w:r>
        <w:rPr>
          <w:rFonts w:hint="eastAsia" w:ascii="宋体" w:hAnsi="宋体"/>
          <w:color w:val="auto"/>
          <w:sz w:val="24"/>
        </w:rPr>
        <w:t>（发包人名称）（以下称“发包人”）于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日签订了</w:t>
      </w:r>
      <w:r>
        <w:rPr>
          <w:rFonts w:hint="eastAsia" w:ascii="宋体" w:hAnsi="宋体"/>
          <w:color w:val="auto"/>
          <w:sz w:val="24"/>
          <w:u w:val="single"/>
        </w:rPr>
        <w:t xml:space="preserve">           </w:t>
      </w:r>
      <w:r>
        <w:rPr>
          <w:rFonts w:hint="eastAsia" w:ascii="宋体" w:hAnsi="宋体"/>
          <w:color w:val="auto"/>
          <w:sz w:val="24"/>
        </w:rPr>
        <w:t>（工程名称）《建设工程施工合同》（以下称“主合同”），应发包人的申请，我方愿就发包人履行主合同约定的工程款支付义务以保证的方式向你方提供如下担保：</w:t>
      </w:r>
    </w:p>
    <w:p w14:paraId="33236C18">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一、保证的范围及保证金额</w:t>
      </w:r>
    </w:p>
    <w:p w14:paraId="45A86F67">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我方的保证范围是主合同约定的工程款。</w:t>
      </w:r>
    </w:p>
    <w:p w14:paraId="2919AD5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本保函所称主合同约定的工程款是指主合同约定的除工程质量保证金以外的合同价款。</w:t>
      </w:r>
    </w:p>
    <w:p w14:paraId="0031D812">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我方保证的金额是主合同约定的工程款的</w:t>
      </w:r>
      <w:r>
        <w:rPr>
          <w:rFonts w:hint="eastAsia" w:ascii="宋体" w:hAnsi="宋体"/>
          <w:color w:val="auto"/>
          <w:sz w:val="24"/>
          <w:u w:val="single"/>
        </w:rPr>
        <w:t xml:space="preserve">      </w:t>
      </w:r>
      <w:r>
        <w:rPr>
          <w:rFonts w:hint="eastAsia" w:ascii="宋体" w:hAnsi="宋体"/>
          <w:color w:val="auto"/>
          <w:sz w:val="24"/>
        </w:rPr>
        <w:t>%，数额最高不超过人民币元（大写：</w:t>
      </w:r>
      <w:r>
        <w:rPr>
          <w:rFonts w:hint="eastAsia" w:ascii="宋体" w:hAnsi="宋体"/>
          <w:color w:val="auto"/>
          <w:sz w:val="24"/>
          <w:u w:val="single"/>
        </w:rPr>
        <w:t xml:space="preserve">        </w:t>
      </w:r>
      <w:r>
        <w:rPr>
          <w:rFonts w:hint="eastAsia" w:ascii="宋体" w:hAnsi="宋体"/>
          <w:color w:val="auto"/>
          <w:sz w:val="24"/>
        </w:rPr>
        <w:t>）。</w:t>
      </w:r>
    </w:p>
    <w:p w14:paraId="10571AE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二、保证的方式及保证期间</w:t>
      </w:r>
    </w:p>
    <w:p w14:paraId="37BD90E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我方保证的方式为：连带责任保证。</w:t>
      </w:r>
    </w:p>
    <w:p w14:paraId="3F81006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我方保证的期间为：自本合同生效之日起至主合同约定的工程款支付完毕之日后</w:t>
      </w:r>
      <w:r>
        <w:rPr>
          <w:rFonts w:hint="eastAsia" w:ascii="宋体" w:hAnsi="宋体"/>
          <w:color w:val="auto"/>
          <w:sz w:val="24"/>
          <w:u w:val="single"/>
        </w:rPr>
        <w:t xml:space="preserve">    </w:t>
      </w:r>
      <w:r>
        <w:rPr>
          <w:rFonts w:hint="eastAsia" w:ascii="宋体" w:hAnsi="宋体"/>
          <w:color w:val="auto"/>
          <w:sz w:val="24"/>
        </w:rPr>
        <w:t>日内。</w:t>
      </w:r>
    </w:p>
    <w:p w14:paraId="34A4046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你方与发包人协议变更工程款支付日期的，经我方书面同意后，保证期间按照变更后的支付日期做相应调整。</w:t>
      </w:r>
    </w:p>
    <w:p w14:paraId="256A88D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三、承担保证责任的形式</w:t>
      </w:r>
    </w:p>
    <w:p w14:paraId="34D86A9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我方承担保证责任的形式是代为支付。发包人未按主合同约定向你方支付工程款的，由我方在保证金额内代为支付。</w:t>
      </w:r>
    </w:p>
    <w:p w14:paraId="6EC988E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四、代偿的安排</w:t>
      </w:r>
    </w:p>
    <w:p w14:paraId="086C96A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你方要求我方承担保证责任的，应向我方发出书面索赔通知及发包人未支付主合同约定工程款的证明材料。索赔通知应写明要求索赔的金额，支付款项应到达的账号。</w:t>
      </w:r>
    </w:p>
    <w:p w14:paraId="1264EBA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7496AE0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我方收到你方的书面索赔通知及相应的证明材料后７天内无条件支付。</w:t>
      </w:r>
    </w:p>
    <w:p w14:paraId="3A5A267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五、保证责任的解除</w:t>
      </w:r>
    </w:p>
    <w:p w14:paraId="2632C77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在本保函承诺的保证期间内，你方未书面向我方主张保证责任的，自保证期间届满次日起，我方保证责任解除。</w:t>
      </w:r>
    </w:p>
    <w:p w14:paraId="1A4403D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发包人按主合同约定履行了工程款的全部支付义务的，自本保函承诺的保证期间届满次日起，我方保证责任解除。</w:t>
      </w:r>
    </w:p>
    <w:p w14:paraId="79BAA80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我方按照本保函向你方履行保证责任所支付金额达到本保函保证金额时，自我方向你方支付（支付款项从我方账户划出）之日起，保证责任即解除。</w:t>
      </w:r>
    </w:p>
    <w:p w14:paraId="2C54A53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4. 按照法律法规的规定或出现应解除我方保证责任的其他情形的，我方在本保函项下的保证责任亦解除。</w:t>
      </w:r>
    </w:p>
    <w:p w14:paraId="2A26E25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5. 我方解除保证责任后，你方应自我方保证责任解除之日起</w:t>
      </w:r>
      <w:r>
        <w:rPr>
          <w:rFonts w:hint="eastAsia" w:ascii="宋体" w:hAnsi="宋体"/>
          <w:color w:val="auto"/>
          <w:sz w:val="24"/>
          <w:u w:val="single"/>
        </w:rPr>
        <w:t xml:space="preserve">  </w:t>
      </w:r>
      <w:r>
        <w:rPr>
          <w:rFonts w:hint="eastAsia" w:ascii="宋体" w:hAnsi="宋体"/>
          <w:color w:val="auto"/>
          <w:sz w:val="24"/>
        </w:rPr>
        <w:t>个工作日内，将本保函原件返还我方。</w:t>
      </w:r>
    </w:p>
    <w:p w14:paraId="03E70A3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六、免责条款</w:t>
      </w:r>
    </w:p>
    <w:p w14:paraId="6EA6C82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因你方违约致使发包人不能履行义务的，我方不承担保证责任。</w:t>
      </w:r>
    </w:p>
    <w:p w14:paraId="381E9E2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依照法律法规的规定或你方与发包人的另行约定，免除发包人部分或全部义务的，我方亦免除其相应的保证责任。</w:t>
      </w:r>
    </w:p>
    <w:p w14:paraId="15860BC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7520C35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4. 因不可抗力造成发包人不能履行义务的，我方不承担保证责任。</w:t>
      </w:r>
    </w:p>
    <w:p w14:paraId="1A711E3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七、争议解决</w:t>
      </w:r>
    </w:p>
    <w:p w14:paraId="1B0A4DF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因本保函或本保函相关事项发生的纠纷，可由双方协商解决，协商不成的，按下列第</w:t>
      </w:r>
      <w:r>
        <w:rPr>
          <w:rFonts w:hint="eastAsia" w:ascii="宋体" w:hAnsi="宋体"/>
          <w:color w:val="auto"/>
          <w:sz w:val="24"/>
          <w:u w:val="single"/>
        </w:rPr>
        <w:t xml:space="preserve">     </w:t>
      </w:r>
      <w:r>
        <w:rPr>
          <w:rFonts w:hint="eastAsia" w:ascii="宋体" w:hAnsi="宋体"/>
          <w:color w:val="auto"/>
          <w:sz w:val="24"/>
        </w:rPr>
        <w:t>种方式解决：</w:t>
      </w:r>
    </w:p>
    <w:p w14:paraId="0FC1FCB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（1）向</w:t>
      </w:r>
      <w:r>
        <w:rPr>
          <w:rFonts w:hint="eastAsia" w:ascii="宋体" w:hAnsi="宋体"/>
          <w:color w:val="auto"/>
          <w:sz w:val="24"/>
          <w:u w:val="single"/>
        </w:rPr>
        <w:t xml:space="preserve">                     </w:t>
      </w:r>
      <w:r>
        <w:rPr>
          <w:rFonts w:hint="eastAsia" w:ascii="宋体" w:hAnsi="宋体"/>
          <w:color w:val="auto"/>
          <w:sz w:val="24"/>
        </w:rPr>
        <w:t>仲裁委员会申请仲裁；</w:t>
      </w:r>
    </w:p>
    <w:p w14:paraId="52105AD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（2）向</w:t>
      </w:r>
      <w:r>
        <w:rPr>
          <w:rFonts w:hint="eastAsia" w:ascii="宋体" w:hAnsi="宋体"/>
          <w:color w:val="auto"/>
          <w:sz w:val="24"/>
          <w:u w:val="single"/>
        </w:rPr>
        <w:t xml:space="preserve">                     </w:t>
      </w:r>
      <w:r>
        <w:rPr>
          <w:rFonts w:hint="eastAsia" w:ascii="宋体" w:hAnsi="宋体"/>
          <w:color w:val="auto"/>
          <w:sz w:val="24"/>
        </w:rPr>
        <w:t>人民法院起诉。</w:t>
      </w:r>
    </w:p>
    <w:p w14:paraId="0AE5B84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八、保函的生效</w:t>
      </w:r>
      <w:bookmarkStart w:id="541" w:name="_GoBack"/>
      <w:bookmarkEnd w:id="541"/>
    </w:p>
    <w:p w14:paraId="6F2064B7">
      <w:pPr>
        <w:keepNext w:val="0"/>
        <w:keepLines w:val="0"/>
        <w:pageBreakBefore w:val="0"/>
        <w:widowControl w:val="0"/>
        <w:kinsoku/>
        <w:wordWrap/>
        <w:overflowPunct/>
        <w:topLinePunct w:val="0"/>
        <w:autoSpaceDN/>
        <w:bidi w:val="0"/>
        <w:adjustRightInd/>
        <w:snapToGrid/>
        <w:spacing w:line="360" w:lineRule="auto"/>
        <w:textAlignment w:val="auto"/>
        <w:outlineLvl w:val="9"/>
        <w:rPr>
          <w:rFonts w:hint="eastAsia" w:ascii="宋体" w:hAnsi="宋体"/>
          <w:color w:val="auto"/>
          <w:sz w:val="24"/>
        </w:rPr>
      </w:pPr>
    </w:p>
    <w:p w14:paraId="6580A017">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本保函自我方法定代表人（或其授权代理人）签字并加盖公章之日起生效。</w:t>
      </w:r>
    </w:p>
    <w:p w14:paraId="6EC55E18">
      <w:pPr>
        <w:keepNext w:val="0"/>
        <w:keepLines w:val="0"/>
        <w:pageBreakBefore w:val="0"/>
        <w:widowControl w:val="0"/>
        <w:kinsoku/>
        <w:wordWrap/>
        <w:overflowPunct/>
        <w:topLinePunct w:val="0"/>
        <w:autoSpaceDN/>
        <w:bidi w:val="0"/>
        <w:adjustRightInd/>
        <w:snapToGrid/>
        <w:spacing w:line="360" w:lineRule="auto"/>
        <w:ind w:right="600"/>
        <w:jc w:val="left"/>
        <w:textAlignment w:val="auto"/>
        <w:outlineLvl w:val="9"/>
        <w:rPr>
          <w:rFonts w:hint="eastAsia" w:ascii="宋体" w:hAnsi="宋体"/>
          <w:color w:val="auto"/>
          <w:sz w:val="24"/>
        </w:rPr>
      </w:pPr>
      <w:r>
        <w:rPr>
          <w:rFonts w:hint="eastAsia" w:ascii="宋体" w:hAnsi="宋体"/>
          <w:color w:val="auto"/>
          <w:sz w:val="24"/>
        </w:rPr>
        <w:t xml:space="preserve"> </w:t>
      </w:r>
    </w:p>
    <w:p w14:paraId="5BB28514">
      <w:pPr>
        <w:keepNext w:val="0"/>
        <w:keepLines w:val="0"/>
        <w:pageBreakBefore w:val="0"/>
        <w:widowControl w:val="0"/>
        <w:kinsoku/>
        <w:wordWrap/>
        <w:overflowPunct/>
        <w:topLinePunct w:val="0"/>
        <w:autoSpaceDN/>
        <w:bidi w:val="0"/>
        <w:adjustRightInd/>
        <w:snapToGrid/>
        <w:spacing w:line="360" w:lineRule="auto"/>
        <w:ind w:right="600" w:firstLine="1440" w:firstLineChars="600"/>
        <w:jc w:val="left"/>
        <w:textAlignment w:val="auto"/>
        <w:outlineLvl w:val="9"/>
        <w:rPr>
          <w:rFonts w:hint="eastAsia" w:ascii="宋体" w:hAnsi="宋体"/>
          <w:color w:val="auto"/>
          <w:sz w:val="24"/>
        </w:rPr>
      </w:pPr>
      <w:r>
        <w:rPr>
          <w:rFonts w:hint="eastAsia" w:ascii="宋体" w:hAnsi="宋体"/>
          <w:color w:val="auto"/>
          <w:sz w:val="24"/>
        </w:rPr>
        <w:t>担保人：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（盖章）</w:t>
      </w:r>
    </w:p>
    <w:p w14:paraId="2209B687">
      <w:pPr>
        <w:keepNext w:val="0"/>
        <w:keepLines w:val="0"/>
        <w:pageBreakBefore w:val="0"/>
        <w:widowControl w:val="0"/>
        <w:kinsoku/>
        <w:wordWrap/>
        <w:overflowPunct/>
        <w:topLinePunct w:val="0"/>
        <w:autoSpaceDE/>
        <w:autoSpaceDN/>
        <w:bidi w:val="0"/>
        <w:adjustRightInd/>
        <w:snapToGrid/>
        <w:spacing w:line="360" w:lineRule="auto"/>
        <w:ind w:right="0" w:firstLine="1440" w:firstLineChars="600"/>
        <w:jc w:val="both"/>
        <w:textAlignment w:val="auto"/>
        <w:outlineLvl w:val="9"/>
        <w:rPr>
          <w:rFonts w:hint="eastAsia" w:ascii="宋体" w:hAnsi="宋体"/>
          <w:color w:val="auto"/>
          <w:sz w:val="24"/>
        </w:rPr>
      </w:pPr>
      <w:r>
        <w:rPr>
          <w:rFonts w:hint="eastAsia" w:ascii="宋体" w:hAnsi="宋体"/>
          <w:color w:val="auto"/>
          <w:sz w:val="24"/>
        </w:rPr>
        <w:t>法定代表人或委托代理人：</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2D894580">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地    址：</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78AD1A11">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3122266F">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传    真：</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 xml:space="preserve"> ，</w:t>
      </w:r>
    </w:p>
    <w:p w14:paraId="48F4A229">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none"/>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日</w:t>
      </w:r>
    </w:p>
    <w:p w14:paraId="4580DA9C">
      <w:pPr>
        <w:rPr>
          <w:rFonts w:hint="eastAsia" w:ascii="宋体" w:hAnsi="宋体"/>
          <w:color w:val="auto"/>
          <w:sz w:val="24"/>
        </w:rPr>
      </w:pPr>
      <w:r>
        <w:rPr>
          <w:rFonts w:hint="eastAsia" w:ascii="宋体" w:hAnsi="宋体"/>
          <w:color w:val="auto"/>
          <w:sz w:val="24"/>
        </w:rPr>
        <w:br w:type="page"/>
      </w:r>
    </w:p>
    <w:p w14:paraId="233C4D04">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9</w:t>
      </w:r>
      <w:r>
        <w:rPr>
          <w:rFonts w:hint="eastAsia" w:ascii="宋体" w:hAnsi="宋体"/>
          <w:color w:val="auto"/>
          <w:sz w:val="24"/>
        </w:rPr>
        <w:t>：</w:t>
      </w:r>
    </w:p>
    <w:p w14:paraId="19812738">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-1：材料暂估价表</w:t>
      </w:r>
    </w:p>
    <w:tbl>
      <w:tblPr>
        <w:tblStyle w:val="19"/>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212"/>
      </w:tblGrid>
      <w:tr w14:paraId="57687244">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765C1A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52AE268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2499B17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5D44A0D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446B70D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58AF8AF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合价（元）</w:t>
            </w:r>
          </w:p>
        </w:tc>
        <w:tc>
          <w:tcPr>
            <w:tcW w:w="1212" w:type="dxa"/>
            <w:tcBorders>
              <w:top w:val="single" w:color="auto" w:sz="12" w:space="0"/>
              <w:left w:val="single" w:color="auto" w:sz="6" w:space="0"/>
              <w:bottom w:val="double" w:color="auto" w:sz="2" w:space="0"/>
              <w:right w:val="single" w:color="auto" w:sz="12" w:space="0"/>
            </w:tcBorders>
            <w:noWrap w:val="0"/>
            <w:vAlign w:val="center"/>
          </w:tcPr>
          <w:p w14:paraId="3EED40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7EBF8B44">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59BE54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6D4F7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2863430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45A08C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5F5908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490C1B6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double" w:color="auto" w:sz="2" w:space="0"/>
              <w:left w:val="single" w:color="auto" w:sz="6" w:space="0"/>
              <w:bottom w:val="single" w:color="auto" w:sz="6" w:space="0"/>
              <w:right w:val="single" w:color="auto" w:sz="12" w:space="0"/>
            </w:tcBorders>
            <w:noWrap w:val="0"/>
            <w:vAlign w:val="top"/>
          </w:tcPr>
          <w:p w14:paraId="67AD7D3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1776FBD">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61E6CE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69A044A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nil"/>
              <w:left w:val="single" w:color="auto" w:sz="6" w:space="0"/>
              <w:bottom w:val="single" w:color="auto" w:sz="6" w:space="0"/>
              <w:right w:val="single" w:color="auto" w:sz="6" w:space="0"/>
            </w:tcBorders>
            <w:noWrap w:val="0"/>
            <w:vAlign w:val="top"/>
          </w:tcPr>
          <w:p w14:paraId="54EB64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nil"/>
              <w:left w:val="single" w:color="auto" w:sz="6" w:space="0"/>
              <w:bottom w:val="single" w:color="auto" w:sz="6" w:space="0"/>
              <w:right w:val="single" w:color="auto" w:sz="6" w:space="0"/>
            </w:tcBorders>
            <w:noWrap w:val="0"/>
            <w:vAlign w:val="top"/>
          </w:tcPr>
          <w:p w14:paraId="48BF5C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nil"/>
              <w:left w:val="single" w:color="auto" w:sz="6" w:space="0"/>
              <w:bottom w:val="single" w:color="auto" w:sz="6" w:space="0"/>
              <w:right w:val="single" w:color="auto" w:sz="6" w:space="0"/>
            </w:tcBorders>
            <w:noWrap w:val="0"/>
            <w:vAlign w:val="top"/>
          </w:tcPr>
          <w:p w14:paraId="09D5AA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nil"/>
              <w:left w:val="single" w:color="auto" w:sz="6" w:space="0"/>
              <w:bottom w:val="single" w:color="auto" w:sz="6" w:space="0"/>
              <w:right w:val="single" w:color="auto" w:sz="6" w:space="0"/>
            </w:tcBorders>
            <w:noWrap w:val="0"/>
            <w:vAlign w:val="top"/>
          </w:tcPr>
          <w:p w14:paraId="46AEA4D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nil"/>
              <w:left w:val="single" w:color="auto" w:sz="6" w:space="0"/>
              <w:bottom w:val="single" w:color="auto" w:sz="6" w:space="0"/>
              <w:right w:val="single" w:color="auto" w:sz="12" w:space="0"/>
            </w:tcBorders>
            <w:noWrap w:val="0"/>
            <w:vAlign w:val="top"/>
          </w:tcPr>
          <w:p w14:paraId="2C34DA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915806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87309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7E839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145CB7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2A984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F87158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1C0E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47F1AC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EF3F22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E700B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8E5F74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A11A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5DD9A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E1B6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F440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048D3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AA234A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163FB5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EA061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A2C6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4E5052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F5434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554466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FE0F7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9E1B5B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F3D34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BF729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A90A87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D56A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AE9EB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79947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19D141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CE0D6B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EA311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6D2966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9B8BD6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B8DF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5E7B8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1E839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59D013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439C54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9F271E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42337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263637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4FB356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A5485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72A4A4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ADA7C4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5DA852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5491B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A8A0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796C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4172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650D0F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B9DDC2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7E21813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E7BE91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8BF71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2B89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4597C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790D0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461A5B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F150E2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4D0613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5F66DC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33B39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94C62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1A8DC1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781D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642DB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890B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63E838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E0EDD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99BC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4F083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44292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8210C3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210EA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56366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7B98F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32F6E5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4DE1B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9DDE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5692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70911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0B929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0B413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01876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979780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824D1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010E5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BC63A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BCDF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5B9297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8C2C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6B4E6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13D776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D077AD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4D498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E1E927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A7BBE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40F97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4F766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EE68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C24D56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33418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29DA5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507688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F640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6390A1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EE8F13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85446D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A1B35D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22D79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2844D6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B6E2F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B48EB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3040A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4F52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A280E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8D2B6A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2B7CE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434E8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522F2B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CD8B9C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F3065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AAD212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480A1C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BA7B84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D7A2B7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52E4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14700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EBC27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0C0E2A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650CF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1795F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56DDC0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B681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7E49E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6E9D4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BB90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DD56C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17F032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7C839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5A5DF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88FF0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7BCD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C2B32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AC53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941C00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B2545E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428C82C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352671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173DD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5AE54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63F19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87CFD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125C4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8BF06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2E13BE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B074EE0">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79739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D752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C3AD4A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883BF9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73197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2A980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8A39B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27DB7F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582C6CD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03C7CF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3ED34C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1ADCC9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6F9264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4593D62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12" w:space="0"/>
              <w:right w:val="single" w:color="auto" w:sz="12" w:space="0"/>
            </w:tcBorders>
            <w:noWrap w:val="0"/>
            <w:vAlign w:val="top"/>
          </w:tcPr>
          <w:p w14:paraId="207A091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bl>
    <w:p w14:paraId="3220B5AF">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color w:val="auto"/>
          <w:sz w:val="24"/>
        </w:rPr>
      </w:pPr>
    </w:p>
    <w:p w14:paraId="7F797500">
      <w:pPr>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64F374DC">
      <w:pPr>
        <w:pStyle w:val="10"/>
        <w:keepNext/>
        <w:spacing w:before="0" w:beforeLines="-2147483648" w:after="0" w:afterLines="-2147483648" w:line="440" w:lineRule="exact"/>
        <w:ind w:left="63" w:leftChars="0" w:right="63" w:firstLine="0" w:firstLineChars="0"/>
        <w:jc w:val="center"/>
        <w:outlineLvl w:val="9"/>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-2：工程设备暂估价表</w:t>
      </w:r>
    </w:p>
    <w:tbl>
      <w:tblPr>
        <w:tblStyle w:val="19"/>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381"/>
      </w:tblGrid>
      <w:tr w14:paraId="407B91E5">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10AFEB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017232D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06BA01E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49B209D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42E8C7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79BCD3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合价（元）</w:t>
            </w:r>
          </w:p>
        </w:tc>
        <w:tc>
          <w:tcPr>
            <w:tcW w:w="1381" w:type="dxa"/>
            <w:tcBorders>
              <w:top w:val="single" w:color="auto" w:sz="12" w:space="0"/>
              <w:left w:val="single" w:color="auto" w:sz="6" w:space="0"/>
              <w:bottom w:val="double" w:color="auto" w:sz="2" w:space="0"/>
              <w:right w:val="single" w:color="auto" w:sz="12" w:space="0"/>
            </w:tcBorders>
            <w:noWrap w:val="0"/>
            <w:vAlign w:val="center"/>
          </w:tcPr>
          <w:p w14:paraId="1F18035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07C26576">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2FACC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410430A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A4671B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3E7CDC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276FDF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06255D0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double" w:color="auto" w:sz="2" w:space="0"/>
              <w:left w:val="single" w:color="auto" w:sz="6" w:space="0"/>
              <w:bottom w:val="single" w:color="auto" w:sz="6" w:space="0"/>
              <w:right w:val="single" w:color="auto" w:sz="12" w:space="0"/>
            </w:tcBorders>
            <w:noWrap w:val="0"/>
            <w:vAlign w:val="top"/>
          </w:tcPr>
          <w:p w14:paraId="2444F13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F17F05E">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1C5C92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602B183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nil"/>
              <w:left w:val="single" w:color="auto" w:sz="6" w:space="0"/>
              <w:bottom w:val="single" w:color="auto" w:sz="6" w:space="0"/>
              <w:right w:val="single" w:color="auto" w:sz="6" w:space="0"/>
            </w:tcBorders>
            <w:noWrap w:val="0"/>
            <w:vAlign w:val="top"/>
          </w:tcPr>
          <w:p w14:paraId="115826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nil"/>
              <w:left w:val="single" w:color="auto" w:sz="6" w:space="0"/>
              <w:bottom w:val="single" w:color="auto" w:sz="6" w:space="0"/>
              <w:right w:val="single" w:color="auto" w:sz="6" w:space="0"/>
            </w:tcBorders>
            <w:noWrap w:val="0"/>
            <w:vAlign w:val="top"/>
          </w:tcPr>
          <w:p w14:paraId="09521F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nil"/>
              <w:left w:val="single" w:color="auto" w:sz="6" w:space="0"/>
              <w:bottom w:val="single" w:color="auto" w:sz="6" w:space="0"/>
              <w:right w:val="single" w:color="auto" w:sz="6" w:space="0"/>
            </w:tcBorders>
            <w:noWrap w:val="0"/>
            <w:vAlign w:val="top"/>
          </w:tcPr>
          <w:p w14:paraId="75EC2E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nil"/>
              <w:left w:val="single" w:color="auto" w:sz="6" w:space="0"/>
              <w:bottom w:val="single" w:color="auto" w:sz="6" w:space="0"/>
              <w:right w:val="single" w:color="auto" w:sz="6" w:space="0"/>
            </w:tcBorders>
            <w:noWrap w:val="0"/>
            <w:vAlign w:val="top"/>
          </w:tcPr>
          <w:p w14:paraId="4FDE2BF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nil"/>
              <w:left w:val="single" w:color="auto" w:sz="6" w:space="0"/>
              <w:bottom w:val="single" w:color="auto" w:sz="6" w:space="0"/>
              <w:right w:val="single" w:color="auto" w:sz="12" w:space="0"/>
            </w:tcBorders>
            <w:noWrap w:val="0"/>
            <w:vAlign w:val="top"/>
          </w:tcPr>
          <w:p w14:paraId="0708C7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B5093F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FFD221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D1008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F6E85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7E62DF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9F3FD2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0051E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F7EBF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47CD48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2D4CF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870F4D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86716A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DAD56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133B47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6D8D7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58B24E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D2B659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E1E09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AB06D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C973FE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AE9D8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39271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A158F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310E73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F3C7BE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1B451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E63AFE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D23A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05B40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60673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59F17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8E952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8C5BCC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8B8C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0D744D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08F3D9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D71B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86C0D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6E0D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AF9BB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7FCD77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A0E82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E74311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1A946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BC68B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D31EC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174A0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07786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5C3F4A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762F9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34546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9F01C4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B3E264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4350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F18F68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12BDCD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66028A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E0BB9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2EB2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9416D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2265A3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888214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92CA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7274D4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B7CD5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6F442D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7029C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4EF60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BFA37D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4A85A9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A0592E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1E747F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E948A9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3C30A6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E1654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34391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E077C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C28538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5F61B7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B0265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E98A65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2F6B45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3501EF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B0CDB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15AA2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9446F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AACF41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8AD318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EC7B88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4351A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C2857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BBCAA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D72D2B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49B8F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189B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2E3C9A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55C84FA">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F9EE96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6ECBAF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59B433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F37E8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366806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4692D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EB981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3045EBC">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DE5FAF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BFB85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AC4F9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ED551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ACE0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9D34D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D76DB2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918CF6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EFD26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80A54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3E753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8716D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B55013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DAEC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E73C74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ABF8FE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CC602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31F3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00B16C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6EA4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E19A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945931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13207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B32922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B9B390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A890E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909437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5982D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EA512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707B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73FC4A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4BFFAB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F6DC6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C6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24CAB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6D3C2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D529AC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1205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9B0A9A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AE0473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2DF1B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3554C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A5AA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05A9E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23280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9305E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16DDDA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FC7A8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8A38C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2CFB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F78515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8D71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F2C545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C74AD0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C86E5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D03360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CB2DC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8D7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085A9F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821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A40CC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DE1F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381A06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D28451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9AD3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0F9E2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AC87F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A672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1EE4A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36F1D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BC406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864FBD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1B0DD7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7D28AE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79BB98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4C3879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598613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71B138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12" w:space="0"/>
              <w:right w:val="single" w:color="auto" w:sz="12" w:space="0"/>
            </w:tcBorders>
            <w:noWrap w:val="0"/>
            <w:vAlign w:val="top"/>
          </w:tcPr>
          <w:p w14:paraId="4B1CF9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bl>
    <w:p w14:paraId="2F806C58">
      <w:pPr>
        <w:spacing w:before="156" w:beforeLines="50" w:after="156" w:afterLines="50" w:line="440" w:lineRule="exact"/>
        <w:jc w:val="left"/>
        <w:outlineLvl w:val="9"/>
        <w:rPr>
          <w:rFonts w:hint="eastAsia" w:ascii="宋体" w:hAnsi="宋体"/>
          <w:color w:val="auto"/>
          <w:sz w:val="24"/>
        </w:rPr>
      </w:pPr>
    </w:p>
    <w:p w14:paraId="7073D02C">
      <w:pPr>
        <w:rPr>
          <w:rFonts w:hint="eastAsia" w:ascii="宋体" w:hAnsi="宋体" w:eastAsia="宋体" w:cs="宋体"/>
          <w:b/>
          <w:bCs w:val="0"/>
          <w:kern w:val="44"/>
          <w:sz w:val="44"/>
          <w:szCs w:val="44"/>
          <w:lang w:val="en-US" w:eastAsia="zh-CN" w:bidi="ar-SA"/>
        </w:rPr>
      </w:pPr>
    </w:p>
    <w:p w14:paraId="2AF81DE8">
      <w:pPr>
        <w:jc w:val="center"/>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-3：专业工程暂估价表</w:t>
      </w:r>
    </w:p>
    <w:tbl>
      <w:tblPr>
        <w:tblStyle w:val="19"/>
        <w:tblW w:w="0" w:type="auto"/>
        <w:jc w:val="center"/>
        <w:tblLayout w:type="fixed"/>
        <w:tblCellMar>
          <w:top w:w="0" w:type="dxa"/>
          <w:left w:w="28" w:type="dxa"/>
          <w:bottom w:w="0" w:type="dxa"/>
          <w:right w:w="28" w:type="dxa"/>
        </w:tblCellMar>
      </w:tblPr>
      <w:tblGrid>
        <w:gridCol w:w="879"/>
        <w:gridCol w:w="1984"/>
        <w:gridCol w:w="4678"/>
        <w:gridCol w:w="1276"/>
      </w:tblGrid>
      <w:tr w14:paraId="0CCB3AB1">
        <w:tblPrEx>
          <w:tblCellMar>
            <w:top w:w="0" w:type="dxa"/>
            <w:left w:w="28" w:type="dxa"/>
            <w:bottom w:w="0" w:type="dxa"/>
            <w:right w:w="28" w:type="dxa"/>
          </w:tblCellMar>
        </w:tblPrEx>
        <w:trPr>
          <w:jc w:val="center"/>
        </w:trPr>
        <w:tc>
          <w:tcPr>
            <w:tcW w:w="879" w:type="dxa"/>
            <w:tcBorders>
              <w:top w:val="single" w:color="auto" w:sz="12" w:space="0"/>
              <w:left w:val="single" w:color="auto" w:sz="12" w:space="0"/>
              <w:bottom w:val="double" w:color="auto" w:sz="2" w:space="0"/>
              <w:right w:val="single" w:color="auto" w:sz="6" w:space="0"/>
            </w:tcBorders>
            <w:noWrap w:val="0"/>
            <w:vAlign w:val="center"/>
          </w:tcPr>
          <w:p w14:paraId="7BAB9CB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32AC8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center"/>
          </w:tcPr>
          <w:p w14:paraId="726CD1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center"/>
          </w:tcPr>
          <w:p w14:paraId="4DCECA6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金额</w:t>
            </w:r>
          </w:p>
        </w:tc>
      </w:tr>
      <w:tr w14:paraId="2AEDC4DD">
        <w:tblPrEx>
          <w:tblCellMar>
            <w:top w:w="0" w:type="dxa"/>
            <w:left w:w="28" w:type="dxa"/>
            <w:bottom w:w="0" w:type="dxa"/>
            <w:right w:w="28" w:type="dxa"/>
          </w:tblCellMar>
        </w:tblPrEx>
        <w:trPr>
          <w:jc w:val="center"/>
        </w:trPr>
        <w:tc>
          <w:tcPr>
            <w:tcW w:w="879" w:type="dxa"/>
            <w:tcBorders>
              <w:top w:val="double" w:color="auto" w:sz="2" w:space="0"/>
              <w:left w:val="single" w:color="auto" w:sz="12" w:space="0"/>
              <w:bottom w:val="single" w:color="auto" w:sz="6" w:space="0"/>
              <w:right w:val="single" w:color="auto" w:sz="6" w:space="0"/>
            </w:tcBorders>
            <w:noWrap w:val="0"/>
            <w:vAlign w:val="top"/>
          </w:tcPr>
          <w:p w14:paraId="47FF06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5E73F8C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343229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0A0042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653A8FE">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648F62C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32CB081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nil"/>
              <w:left w:val="single" w:color="auto" w:sz="6" w:space="0"/>
              <w:bottom w:val="single" w:color="auto" w:sz="6" w:space="0"/>
              <w:right w:val="single" w:color="auto" w:sz="6" w:space="0"/>
            </w:tcBorders>
            <w:noWrap w:val="0"/>
            <w:vAlign w:val="top"/>
          </w:tcPr>
          <w:p w14:paraId="55ED918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nil"/>
              <w:left w:val="single" w:color="auto" w:sz="6" w:space="0"/>
              <w:bottom w:val="single" w:color="auto" w:sz="6" w:space="0"/>
              <w:right w:val="single" w:color="auto" w:sz="12" w:space="0"/>
            </w:tcBorders>
            <w:noWrap w:val="0"/>
            <w:vAlign w:val="top"/>
          </w:tcPr>
          <w:p w14:paraId="0D0A48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9A3EA4C">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7FE7F08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40C460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nil"/>
              <w:left w:val="single" w:color="auto" w:sz="6" w:space="0"/>
              <w:bottom w:val="single" w:color="auto" w:sz="6" w:space="0"/>
              <w:right w:val="single" w:color="auto" w:sz="6" w:space="0"/>
            </w:tcBorders>
            <w:noWrap w:val="0"/>
            <w:vAlign w:val="top"/>
          </w:tcPr>
          <w:p w14:paraId="11ACD44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nil"/>
              <w:left w:val="single" w:color="auto" w:sz="6" w:space="0"/>
              <w:bottom w:val="single" w:color="auto" w:sz="6" w:space="0"/>
              <w:right w:val="single" w:color="auto" w:sz="12" w:space="0"/>
            </w:tcBorders>
            <w:noWrap w:val="0"/>
            <w:vAlign w:val="top"/>
          </w:tcPr>
          <w:p w14:paraId="73F26A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EFA638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DB8788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86797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CB5AE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8BF5FF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B787A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BE323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28467A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8E65B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769FD3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02E997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BF59D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E416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88226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FDB33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CC3C4A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8DBC70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DDD32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DBDB84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D4A6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1766548">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83CDC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FB41F7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8A812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48DC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F0169FE">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9D340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D4D9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5F4A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D4787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B797FC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2ED8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0854C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6C517E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F2419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D8E09F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057371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CDC76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CC5F1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BC13A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B9C355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0F9379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55CD5D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E12CB8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80A8D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B95FAC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27229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44617B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018AF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815475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84F914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0B1F3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8C35D5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C55EF1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3997C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93AE74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E67B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FA038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7BCB6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E1EB7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FE766D0">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819720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C6E52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7D3369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686D9E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192412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E7F3D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D18C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3929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78744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3E649B6">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B53D1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9866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5F83F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CAEFC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3A0046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1365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E579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E42CC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A0EB6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6678FD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90D55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56F5C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6EA24A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66784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2A511F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125E6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DA69D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AAF1B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81B9AE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315F3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83D5A7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70948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57D9DD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04DA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CE8E78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65DFAD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97BB0A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883122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93F4C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A24882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3FC4AB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72304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18FC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75B08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3D8210B">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4DA33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F4534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7791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12733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831D62A">
        <w:tblPrEx>
          <w:tblCellMar>
            <w:top w:w="0" w:type="dxa"/>
            <w:left w:w="28" w:type="dxa"/>
            <w:bottom w:w="0" w:type="dxa"/>
            <w:right w:w="28" w:type="dxa"/>
          </w:tblCellMar>
        </w:tblPrEx>
        <w:trPr>
          <w:jc w:val="center"/>
        </w:trPr>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29E7D5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小计：</w:t>
            </w:r>
          </w:p>
        </w:tc>
      </w:tr>
    </w:tbl>
    <w:p w14:paraId="0D2A074A">
      <w:pPr>
        <w:rPr>
          <w:rFonts w:hint="eastAsia"/>
          <w:lang w:val="en-US" w:eastAsia="zh-CN"/>
        </w:rPr>
      </w:pPr>
    </w:p>
    <w:sectPr>
      <w:headerReference r:id="rId5" w:type="default"/>
      <w:footerReference r:id="rId6" w:type="default"/>
      <w:pgSz w:w="11906" w:h="16838"/>
      <w:pgMar w:top="1440" w:right="1247" w:bottom="1440"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5649E">
    <w:pPr>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B6CE3">
    <w:pPr>
      <w:pStyle w:val="3"/>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694A14DC"/>
    <w:rsid w:val="00CA0050"/>
    <w:rsid w:val="051E0BD4"/>
    <w:rsid w:val="083E1F8B"/>
    <w:rsid w:val="0A40252D"/>
    <w:rsid w:val="0A4C54EF"/>
    <w:rsid w:val="0BCC346A"/>
    <w:rsid w:val="0D1A273C"/>
    <w:rsid w:val="0D240982"/>
    <w:rsid w:val="12650510"/>
    <w:rsid w:val="14C03686"/>
    <w:rsid w:val="16ED5878"/>
    <w:rsid w:val="180947FE"/>
    <w:rsid w:val="1A452854"/>
    <w:rsid w:val="1BDA4758"/>
    <w:rsid w:val="1F7F45D1"/>
    <w:rsid w:val="252A4A7A"/>
    <w:rsid w:val="256533FF"/>
    <w:rsid w:val="28020B11"/>
    <w:rsid w:val="29296C4B"/>
    <w:rsid w:val="29B80AF4"/>
    <w:rsid w:val="29C65E64"/>
    <w:rsid w:val="2C972285"/>
    <w:rsid w:val="319900D4"/>
    <w:rsid w:val="31C541D6"/>
    <w:rsid w:val="35417A73"/>
    <w:rsid w:val="399B1822"/>
    <w:rsid w:val="3E3653B1"/>
    <w:rsid w:val="3E686071"/>
    <w:rsid w:val="3EF46ABF"/>
    <w:rsid w:val="3F3B19D7"/>
    <w:rsid w:val="3FF821FD"/>
    <w:rsid w:val="423B0BB0"/>
    <w:rsid w:val="435C7035"/>
    <w:rsid w:val="44024162"/>
    <w:rsid w:val="46024FFD"/>
    <w:rsid w:val="4698551B"/>
    <w:rsid w:val="47616387"/>
    <w:rsid w:val="477E2A43"/>
    <w:rsid w:val="51B80C66"/>
    <w:rsid w:val="55256612"/>
    <w:rsid w:val="5D5470BA"/>
    <w:rsid w:val="5DA16A52"/>
    <w:rsid w:val="5FDA57C8"/>
    <w:rsid w:val="623C34CD"/>
    <w:rsid w:val="694A14DC"/>
    <w:rsid w:val="6B1964B5"/>
    <w:rsid w:val="6CAE4CE7"/>
    <w:rsid w:val="6EB93FF0"/>
    <w:rsid w:val="71C1726B"/>
    <w:rsid w:val="765C57B4"/>
    <w:rsid w:val="78056103"/>
    <w:rsid w:val="79B61CB0"/>
    <w:rsid w:val="7B051F5C"/>
    <w:rsid w:val="7D1976DD"/>
    <w:rsid w:val="7EDB7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6"/>
    <w:qFormat/>
    <w:uiPriority w:val="99"/>
    <w:pPr>
      <w:keepNext/>
      <w:keepLines/>
      <w:spacing w:line="413" w:lineRule="auto"/>
      <w:jc w:val="center"/>
      <w:outlineLvl w:val="1"/>
    </w:pPr>
    <w:rPr>
      <w:rFonts w:ascii="Arial" w:hAnsi="Arial"/>
      <w:b/>
      <w:sz w:val="28"/>
    </w:rPr>
  </w:style>
  <w:style w:type="paragraph" w:styleId="7">
    <w:name w:val="heading 3"/>
    <w:basedOn w:val="1"/>
    <w:next w:val="1"/>
    <w:qFormat/>
    <w:uiPriority w:val="99"/>
    <w:pPr>
      <w:keepNext/>
      <w:keepLines/>
      <w:spacing w:line="413" w:lineRule="auto"/>
      <w:outlineLvl w:val="2"/>
    </w:pPr>
    <w:rPr>
      <w:b/>
      <w:sz w:val="28"/>
    </w:rPr>
  </w:style>
  <w:style w:type="paragraph" w:styleId="8">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Indent"/>
    <w:basedOn w:val="1"/>
    <w:qFormat/>
    <w:uiPriority w:val="99"/>
    <w:pPr>
      <w:ind w:firstLine="420"/>
    </w:pPr>
    <w:rPr>
      <w:szCs w:val="20"/>
    </w:rPr>
  </w:style>
  <w:style w:type="paragraph" w:styleId="9">
    <w:name w:val="annotation text"/>
    <w:basedOn w:val="1"/>
    <w:semiHidden/>
    <w:qFormat/>
    <w:uiPriority w:val="0"/>
    <w:pPr>
      <w:adjustRightInd w:val="0"/>
      <w:spacing w:line="360" w:lineRule="atLeast"/>
      <w:jc w:val="left"/>
    </w:pPr>
    <w:rPr>
      <w:kern w:val="0"/>
      <w:sz w:val="24"/>
      <w:szCs w:val="20"/>
    </w:rPr>
  </w:style>
  <w:style w:type="paragraph" w:styleId="10">
    <w:name w:val="Body Text"/>
    <w:basedOn w:val="1"/>
    <w:next w:val="1"/>
    <w:qFormat/>
    <w:uiPriority w:val="0"/>
    <w:rPr>
      <w:sz w:val="28"/>
    </w:rPr>
  </w:style>
  <w:style w:type="paragraph" w:styleId="11">
    <w:name w:val="Body Text Indent"/>
    <w:basedOn w:val="1"/>
    <w:next w:val="1"/>
    <w:qFormat/>
    <w:uiPriority w:val="0"/>
    <w:pPr>
      <w:spacing w:after="120"/>
      <w:ind w:left="420"/>
    </w:pPr>
    <w:rPr>
      <w:kern w:val="1"/>
    </w:rPr>
  </w:style>
  <w:style w:type="paragraph" w:styleId="12">
    <w:name w:val="Plain Text"/>
    <w:basedOn w:val="1"/>
    <w:qFormat/>
    <w:uiPriority w:val="99"/>
    <w:pPr>
      <w:spacing w:line="324" w:lineRule="auto"/>
    </w:pPr>
    <w:rPr>
      <w:rFonts w:ascii="宋体" w:hAnsi="Courier New" w:cs="Courier New"/>
      <w:szCs w:val="21"/>
    </w:rPr>
  </w:style>
  <w:style w:type="paragraph" w:styleId="13">
    <w:name w:val="Body Text Indent 2"/>
    <w:basedOn w:val="1"/>
    <w:qFormat/>
    <w:uiPriority w:val="99"/>
    <w:pPr>
      <w:spacing w:after="120" w:line="480" w:lineRule="auto"/>
      <w:ind w:left="420" w:leftChars="200"/>
    </w:pPr>
  </w:style>
  <w:style w:type="paragraph" w:styleId="14">
    <w:name w:val="footer"/>
    <w:basedOn w:val="1"/>
    <w:qFormat/>
    <w:uiPriority w:val="99"/>
    <w:pPr>
      <w:pBdr>
        <w:top w:val="single" w:color="auto" w:sz="4" w:space="1"/>
      </w:pBdr>
      <w:tabs>
        <w:tab w:val="center" w:pos="4153"/>
        <w:tab w:val="right" w:pos="8306"/>
      </w:tabs>
      <w:snapToGrid w:val="0"/>
      <w:jc w:val="left"/>
    </w:pPr>
    <w:rPr>
      <w:sz w:val="18"/>
    </w:rPr>
  </w:style>
  <w:style w:type="paragraph" w:styleId="15">
    <w:name w:val="toc 1"/>
    <w:basedOn w:val="1"/>
    <w:next w:val="1"/>
    <w:qFormat/>
    <w:uiPriority w:val="0"/>
  </w:style>
  <w:style w:type="paragraph" w:styleId="16">
    <w:name w:val="toc 2"/>
    <w:basedOn w:val="1"/>
    <w:next w:val="1"/>
    <w:qFormat/>
    <w:uiPriority w:val="39"/>
    <w:pPr>
      <w:ind w:left="420" w:leftChars="200"/>
    </w:pPr>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8">
    <w:name w:val="Body Text First Indent 2"/>
    <w:basedOn w:val="11"/>
    <w:next w:val="16"/>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Hyperlink"/>
    <w:basedOn w:val="21"/>
    <w:qFormat/>
    <w:uiPriority w:val="0"/>
    <w:rPr>
      <w:color w:val="0000FF"/>
      <w:u w:val="single"/>
    </w:rPr>
  </w:style>
  <w:style w:type="paragraph" w:customStyle="1" w:styleId="24">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25">
    <w:name w:val="xl31"/>
    <w:basedOn w:val="1"/>
    <w:qFormat/>
    <w:uiPriority w:val="0"/>
    <w:pPr>
      <w:widowControl/>
      <w:spacing w:before="100" w:beforeAutospacing="1" w:after="100" w:afterAutospacing="1"/>
      <w:jc w:val="center"/>
    </w:pPr>
    <w:rPr>
      <w:rFonts w:ascii="宋体" w:hAnsi="宋体" w:eastAsia="仿宋_GB2312"/>
      <w:b/>
      <w:bCs/>
      <w:kern w:val="0"/>
      <w:sz w:val="28"/>
      <w:szCs w:val="28"/>
    </w:rPr>
  </w:style>
  <w:style w:type="paragraph" w:customStyle="1" w:styleId="26">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sz w:val="28"/>
      <w:szCs w:val="20"/>
    </w:rPr>
  </w:style>
  <w:style w:type="paragraph" w:customStyle="1" w:styleId="27">
    <w:name w:val="样式 标题 3 + (中文) 黑体 小四 非加粗 段前: 7.8 磅 段后: 0 磅 行距: 固定值 20 磅"/>
    <w:basedOn w:val="7"/>
    <w:next w:val="1"/>
    <w:autoRedefine/>
    <w:qFormat/>
    <w:uiPriority w:val="99"/>
    <w:pPr>
      <w:spacing w:before="0" w:after="0" w:line="400" w:lineRule="exact"/>
    </w:pPr>
    <w:rPr>
      <w:rFonts w:hAnsi="Calibri" w:eastAsia="黑体" w:cs="宋体"/>
      <w:b w:val="0"/>
      <w:sz w:val="24"/>
    </w:rPr>
  </w:style>
  <w:style w:type="paragraph" w:customStyle="1" w:styleId="28">
    <w:name w:val="List Paragraph"/>
    <w:basedOn w:val="1"/>
    <w:autoRedefine/>
    <w:unhideWhenUsed/>
    <w:qFormat/>
    <w:uiPriority w:val="99"/>
    <w:pPr>
      <w:ind w:firstLine="420" w:firstLineChars="200"/>
    </w:pPr>
  </w:style>
  <w:style w:type="paragraph" w:customStyle="1" w:styleId="29">
    <w:name w:val="_Style 5"/>
    <w:basedOn w:val="4"/>
    <w:next w:val="1"/>
    <w:qFormat/>
    <w:uiPriority w:val="0"/>
    <w:pPr>
      <w:outlineLvl w:val="9"/>
    </w:pPr>
  </w:style>
  <w:style w:type="paragraph" w:customStyle="1" w:styleId="30">
    <w:name w:val="列出段落1"/>
    <w:basedOn w:val="1"/>
    <w:qFormat/>
    <w:uiPriority w:val="99"/>
    <w:pPr>
      <w:ind w:firstLine="420" w:firstLineChars="200"/>
    </w:pPr>
  </w:style>
  <w:style w:type="paragraph" w:customStyle="1" w:styleId="31">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1178</Words>
  <Characters>1216</Characters>
  <Lines>0</Lines>
  <Paragraphs>0</Paragraphs>
  <TotalTime>1</TotalTime>
  <ScaleCrop>false</ScaleCrop>
  <LinksUpToDate>false</LinksUpToDate>
  <CharactersWithSpaces>1309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2022-07-22T02:33:00Z</dcterms:created>
  <dc:creator>MoSes</dc:creator>
  <cp:lastModifiedBy>念念</cp:lastModifiedBy>
  <cp:lastPrinted>2022-08-25T06:53:00Z</cp:lastPrinted>
  <dcterms:modified xsi:type="dcterms:W3CDTF">2025-06-25T12:16:19Z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62CABA95BEC3412E82187291AA9926A1</vt:lpwstr>
  </property>
  <property fmtid="{D5CDD505-2E9C-101B-9397-08002B2CF9AE}" pid="4" name="KSOTemplateDocerSaveRecord">
    <vt:lpwstr>eyJoZGlkIjoiMThiNTMzNmIyZTUyN2Y4MjM3Yjk2ODcwYjk1ZmI1NjciLCJ1c2VySWQiOiIzNDczMDgyMjIifQ==</vt:lpwstr>
  </property>
</Properties>
</file>