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A6638">
      <w:pPr>
        <w:autoSpaceDE w:val="0"/>
        <w:autoSpaceDN w:val="0"/>
        <w:adjustRightInd w:val="0"/>
        <w:snapToGrid w:val="0"/>
        <w:spacing w:line="360" w:lineRule="auto"/>
        <w:jc w:val="left"/>
        <w:rPr>
          <w:rFonts w:hint="eastAsia" w:ascii="仿宋_GB2312" w:hAnsi="仿宋_GB2312" w:eastAsia="仿宋_GB2312" w:cs="仿宋_GB2312"/>
          <w:b/>
          <w:bCs/>
          <w:color w:val="000000" w:themeColor="text1"/>
          <w:sz w:val="32"/>
          <w:szCs w:val="40"/>
          <w:lang w:eastAsia="zh-CN"/>
          <w14:textFill>
            <w14:solidFill>
              <w14:schemeClr w14:val="tx1"/>
            </w14:solidFill>
          </w14:textFill>
        </w:rPr>
      </w:pPr>
      <w:r>
        <w:rPr>
          <w:rFonts w:hint="eastAsia" w:ascii="仿宋_GB2312" w:hAnsi="仿宋_GB2312" w:eastAsia="仿宋_GB2312" w:cs="仿宋_GB2312"/>
          <w:b/>
          <w:bCs/>
          <w:color w:val="000000" w:themeColor="text1"/>
          <w:sz w:val="32"/>
          <w:szCs w:val="40"/>
          <w14:textFill>
            <w14:solidFill>
              <w14:schemeClr w14:val="tx1"/>
            </w14:solidFill>
          </w14:textFill>
        </w:rPr>
        <w:t>偏离表</w:t>
      </w:r>
      <w:r>
        <w:rPr>
          <w:rFonts w:hint="eastAsia" w:ascii="仿宋_GB2312" w:hAnsi="仿宋_GB2312" w:eastAsia="仿宋_GB2312" w:cs="仿宋_GB2312"/>
          <w:b/>
          <w:bCs/>
          <w:color w:val="000000" w:themeColor="text1"/>
          <w:sz w:val="32"/>
          <w:szCs w:val="40"/>
          <w:lang w:eastAsia="zh-CN"/>
          <w14:textFill>
            <w14:solidFill>
              <w14:schemeClr w14:val="tx1"/>
            </w14:solidFill>
          </w14:textFill>
        </w:rPr>
        <w:t>：</w:t>
      </w:r>
    </w:p>
    <w:p w14:paraId="3F73C397">
      <w:pPr>
        <w:rPr>
          <w:rFonts w:ascii="仿宋" w:hAnsi="仿宋" w:eastAsia="仿宋" w:cs="仿宋"/>
          <w:color w:val="000000" w:themeColor="text1"/>
          <w:highlight w:val="none"/>
          <w14:textFill>
            <w14:solidFill>
              <w14:schemeClr w14:val="tx1"/>
            </w14:solidFill>
          </w14:textFill>
        </w:rPr>
      </w:pPr>
    </w:p>
    <w:p w14:paraId="5A0769F6">
      <w:pPr>
        <w:autoSpaceDE w:val="0"/>
        <w:autoSpaceDN w:val="0"/>
        <w:adjustRightInd w:val="0"/>
        <w:snapToGrid w:val="0"/>
        <w:spacing w:line="360" w:lineRule="auto"/>
        <w:jc w:val="center"/>
        <w:rPr>
          <w:rFonts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一、商务、合同条款偏离表</w:t>
      </w:r>
    </w:p>
    <w:p w14:paraId="2539C1D5">
      <w:pPr>
        <w:pStyle w:val="2"/>
        <w:ind w:left="645" w:leftChars="307" w:right="560" w:firstLine="120" w:firstLineChars="50"/>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项目编号:</w:t>
      </w:r>
    </w:p>
    <w:tbl>
      <w:tblPr>
        <w:tblStyle w:val="3"/>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0A00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vAlign w:val="top"/>
          </w:tcPr>
          <w:p w14:paraId="46300F11">
            <w:pPr>
              <w:pStyle w:val="2"/>
              <w:jc w:val="center"/>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序号</w:t>
            </w:r>
          </w:p>
        </w:tc>
        <w:tc>
          <w:tcPr>
            <w:tcW w:w="2835" w:type="dxa"/>
            <w:vAlign w:val="top"/>
          </w:tcPr>
          <w:p w14:paraId="37F62493">
            <w:pPr>
              <w:pStyle w:val="2"/>
              <w:jc w:val="center"/>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磋商文件商务、合同条款</w:t>
            </w:r>
          </w:p>
        </w:tc>
        <w:tc>
          <w:tcPr>
            <w:tcW w:w="1701" w:type="dxa"/>
            <w:vAlign w:val="top"/>
          </w:tcPr>
          <w:p w14:paraId="6F9C58EE">
            <w:pPr>
              <w:pStyle w:val="2"/>
              <w:jc w:val="center"/>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完全响应</w:t>
            </w:r>
          </w:p>
        </w:tc>
        <w:tc>
          <w:tcPr>
            <w:tcW w:w="1417" w:type="dxa"/>
            <w:vAlign w:val="top"/>
          </w:tcPr>
          <w:p w14:paraId="37E0E8CC">
            <w:pPr>
              <w:pStyle w:val="2"/>
              <w:jc w:val="center"/>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有偏离</w:t>
            </w:r>
          </w:p>
        </w:tc>
        <w:tc>
          <w:tcPr>
            <w:tcW w:w="2195" w:type="dxa"/>
            <w:vAlign w:val="top"/>
          </w:tcPr>
          <w:p w14:paraId="6AC7B7E5">
            <w:pPr>
              <w:pStyle w:val="2"/>
              <w:jc w:val="center"/>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偏离简述</w:t>
            </w:r>
          </w:p>
        </w:tc>
      </w:tr>
      <w:tr w14:paraId="54AB5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3A8F621B">
            <w:pPr>
              <w:pStyle w:val="2"/>
              <w:jc w:val="center"/>
              <w:rPr>
                <w:rFonts w:ascii="仿宋" w:hAnsi="仿宋" w:eastAsia="仿宋" w:cs="仿宋"/>
                <w:color w:val="000000" w:themeColor="text1"/>
                <w:sz w:val="24"/>
                <w:szCs w:val="24"/>
                <w:highlight w:val="none"/>
                <w14:textFill>
                  <w14:solidFill>
                    <w14:schemeClr w14:val="tx1"/>
                  </w14:solidFill>
                </w14:textFill>
              </w:rPr>
            </w:pPr>
          </w:p>
        </w:tc>
        <w:tc>
          <w:tcPr>
            <w:tcW w:w="2835" w:type="dxa"/>
            <w:vAlign w:val="top"/>
          </w:tcPr>
          <w:p w14:paraId="7407864C">
            <w:pPr>
              <w:pStyle w:val="2"/>
              <w:jc w:val="center"/>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(服务地点)</w:t>
            </w:r>
          </w:p>
        </w:tc>
        <w:tc>
          <w:tcPr>
            <w:tcW w:w="1701" w:type="dxa"/>
            <w:vAlign w:val="top"/>
          </w:tcPr>
          <w:p w14:paraId="1D87C340">
            <w:pPr>
              <w:pStyle w:val="2"/>
              <w:jc w:val="center"/>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216EE77B">
            <w:pPr>
              <w:pStyle w:val="2"/>
              <w:jc w:val="center"/>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0AEC3CE2">
            <w:pPr>
              <w:pStyle w:val="2"/>
              <w:jc w:val="center"/>
              <w:rPr>
                <w:rFonts w:ascii="仿宋" w:hAnsi="仿宋" w:eastAsia="仿宋" w:cs="仿宋"/>
                <w:color w:val="000000" w:themeColor="text1"/>
                <w:sz w:val="24"/>
                <w:szCs w:val="24"/>
                <w:highlight w:val="none"/>
                <w14:textFill>
                  <w14:solidFill>
                    <w14:schemeClr w14:val="tx1"/>
                  </w14:solidFill>
                </w14:textFill>
              </w:rPr>
            </w:pPr>
          </w:p>
        </w:tc>
      </w:tr>
      <w:tr w14:paraId="42ADA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F060BD3">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center"/>
          </w:tcPr>
          <w:p w14:paraId="436F5709">
            <w:pPr>
              <w:spacing w:line="360" w:lineRule="auto"/>
              <w:jc w:val="center"/>
              <w:rPr>
                <w:rFonts w:ascii="仿宋" w:hAnsi="仿宋" w:eastAsia="仿宋" w:cs="仿宋"/>
                <w:bCs/>
                <w:color w:val="000000" w:themeColor="text1"/>
                <w:sz w:val="24"/>
                <w:highlight w:val="none"/>
                <w14:textFill>
                  <w14:solidFill>
                    <w14:schemeClr w14:val="tx1"/>
                  </w14:solidFill>
                </w14:textFill>
              </w:rPr>
            </w:pPr>
            <w:r>
              <w:rPr>
                <w:rFonts w:hint="eastAsia" w:ascii="仿宋" w:hAnsi="仿宋" w:eastAsia="仿宋" w:cs="仿宋"/>
                <w:bCs/>
                <w:color w:val="000000" w:themeColor="text1"/>
                <w:sz w:val="24"/>
                <w:highlight w:val="none"/>
                <w14:textFill>
                  <w14:solidFill>
                    <w14:schemeClr w14:val="tx1"/>
                  </w14:solidFill>
                </w14:textFill>
              </w:rPr>
              <w:t>(</w:t>
            </w:r>
            <w:r>
              <w:rPr>
                <w:rFonts w:hint="eastAsia" w:ascii="仿宋" w:hAnsi="仿宋" w:eastAsia="仿宋" w:cs="仿宋"/>
                <w:color w:val="000000" w:themeColor="text1"/>
                <w:sz w:val="24"/>
                <w:highlight w:val="none"/>
                <w14:textFill>
                  <w14:solidFill>
                    <w14:schemeClr w14:val="tx1"/>
                  </w14:solidFill>
                </w14:textFill>
              </w:rPr>
              <w:t>服务</w:t>
            </w:r>
            <w:r>
              <w:rPr>
                <w:rFonts w:hint="eastAsia" w:ascii="仿宋" w:hAnsi="仿宋" w:eastAsia="仿宋" w:cs="仿宋"/>
                <w:bCs/>
                <w:color w:val="000000" w:themeColor="text1"/>
                <w:sz w:val="24"/>
                <w:highlight w:val="none"/>
                <w14:textFill>
                  <w14:solidFill>
                    <w14:schemeClr w14:val="tx1"/>
                  </w14:solidFill>
                </w14:textFill>
              </w:rPr>
              <w:t>期)</w:t>
            </w:r>
          </w:p>
        </w:tc>
        <w:tc>
          <w:tcPr>
            <w:tcW w:w="1701" w:type="dxa"/>
            <w:vAlign w:val="top"/>
          </w:tcPr>
          <w:p w14:paraId="21999D58">
            <w:pPr>
              <w:pStyle w:val="2"/>
              <w:ind w:left="1080" w:leftChars="257" w:hanging="540"/>
              <w:jc w:val="center"/>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099FA669">
            <w:pPr>
              <w:pStyle w:val="2"/>
              <w:ind w:left="1080" w:leftChars="257" w:hanging="540"/>
              <w:jc w:val="center"/>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14D91C27">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31554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9A6BA92">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center"/>
          </w:tcPr>
          <w:p w14:paraId="3E12AB83">
            <w:pPr>
              <w:spacing w:line="360" w:lineRule="auto"/>
              <w:jc w:val="center"/>
              <w:rPr>
                <w:rFonts w:ascii="仿宋" w:hAnsi="仿宋" w:eastAsia="仿宋" w:cs="仿宋"/>
                <w:bCs/>
                <w:color w:val="000000" w:themeColor="text1"/>
                <w:sz w:val="24"/>
                <w:highlight w:val="none"/>
                <w14:textFill>
                  <w14:solidFill>
                    <w14:schemeClr w14:val="tx1"/>
                  </w14:solidFill>
                </w14:textFill>
              </w:rPr>
            </w:pPr>
            <w:r>
              <w:rPr>
                <w:rFonts w:hint="eastAsia" w:ascii="仿宋" w:hAnsi="仿宋" w:eastAsia="仿宋" w:cs="仿宋"/>
                <w:bCs/>
                <w:color w:val="000000" w:themeColor="text1"/>
                <w:sz w:val="24"/>
                <w:highlight w:val="none"/>
                <w14:textFill>
                  <w14:solidFill>
                    <w14:schemeClr w14:val="tx1"/>
                  </w14:solidFill>
                </w14:textFill>
              </w:rPr>
              <w:t>(付款方式)</w:t>
            </w:r>
          </w:p>
        </w:tc>
        <w:tc>
          <w:tcPr>
            <w:tcW w:w="1701" w:type="dxa"/>
            <w:vAlign w:val="top"/>
          </w:tcPr>
          <w:p w14:paraId="1EFED544">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41F947DE">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2FF7D8FB">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215D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48E04F7E">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center"/>
          </w:tcPr>
          <w:p w14:paraId="7D733F31">
            <w:pPr>
              <w:spacing w:line="360" w:lineRule="auto"/>
              <w:jc w:val="center"/>
              <w:rPr>
                <w:rFonts w:ascii="仿宋" w:hAnsi="仿宋" w:eastAsia="仿宋" w:cs="仿宋"/>
                <w:bCs/>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w:t>
            </w:r>
          </w:p>
        </w:tc>
        <w:tc>
          <w:tcPr>
            <w:tcW w:w="1701" w:type="dxa"/>
            <w:vAlign w:val="top"/>
          </w:tcPr>
          <w:p w14:paraId="5AFB61D3">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72891431">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0D1F1D71">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1E7DC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6E6AB820">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center"/>
          </w:tcPr>
          <w:p w14:paraId="417461E4">
            <w:pPr>
              <w:spacing w:line="360" w:lineRule="auto"/>
              <w:jc w:val="center"/>
              <w:rPr>
                <w:rFonts w:ascii="仿宋" w:hAnsi="仿宋" w:eastAsia="仿宋" w:cs="仿宋"/>
                <w:bCs/>
                <w:color w:val="000000" w:themeColor="text1"/>
                <w:sz w:val="24"/>
                <w:highlight w:val="none"/>
                <w14:textFill>
                  <w14:solidFill>
                    <w14:schemeClr w14:val="tx1"/>
                  </w14:solidFill>
                </w14:textFill>
              </w:rPr>
            </w:pPr>
          </w:p>
        </w:tc>
        <w:tc>
          <w:tcPr>
            <w:tcW w:w="1701" w:type="dxa"/>
            <w:vAlign w:val="top"/>
          </w:tcPr>
          <w:p w14:paraId="4DAD2BC6">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24E959CC">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4575A887">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7B34B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57AD3037">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center"/>
          </w:tcPr>
          <w:p w14:paraId="195DB5B9">
            <w:pPr>
              <w:spacing w:line="360" w:lineRule="auto"/>
              <w:jc w:val="center"/>
              <w:rPr>
                <w:rFonts w:ascii="仿宋" w:hAnsi="仿宋" w:eastAsia="仿宋" w:cs="仿宋"/>
                <w:bCs/>
                <w:color w:val="000000" w:themeColor="text1"/>
                <w:sz w:val="24"/>
                <w:highlight w:val="none"/>
                <w14:textFill>
                  <w14:solidFill>
                    <w14:schemeClr w14:val="tx1"/>
                  </w14:solidFill>
                </w14:textFill>
              </w:rPr>
            </w:pPr>
          </w:p>
        </w:tc>
        <w:tc>
          <w:tcPr>
            <w:tcW w:w="1701" w:type="dxa"/>
            <w:vAlign w:val="top"/>
          </w:tcPr>
          <w:p w14:paraId="29893690">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24BB9E97">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4AC789BD">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0826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7C90C0C">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center"/>
          </w:tcPr>
          <w:p w14:paraId="1B87CCE9">
            <w:pPr>
              <w:spacing w:line="360" w:lineRule="auto"/>
              <w:jc w:val="center"/>
              <w:rPr>
                <w:rFonts w:ascii="仿宋" w:hAnsi="仿宋" w:eastAsia="仿宋" w:cs="仿宋"/>
                <w:bCs/>
                <w:color w:val="000000" w:themeColor="text1"/>
                <w:sz w:val="24"/>
                <w:highlight w:val="none"/>
                <w14:textFill>
                  <w14:solidFill>
                    <w14:schemeClr w14:val="tx1"/>
                  </w14:solidFill>
                </w14:textFill>
              </w:rPr>
            </w:pPr>
          </w:p>
        </w:tc>
        <w:tc>
          <w:tcPr>
            <w:tcW w:w="1701" w:type="dxa"/>
            <w:vAlign w:val="top"/>
          </w:tcPr>
          <w:p w14:paraId="2BE4B039">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0DE60F4E">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1CB85418">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2DB39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2C2119BF">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top"/>
          </w:tcPr>
          <w:p w14:paraId="4ECDFA33">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701" w:type="dxa"/>
            <w:vAlign w:val="top"/>
          </w:tcPr>
          <w:p w14:paraId="205B2283">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72D52184">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6BAD6308">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0A5AB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6CE39DB6">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top"/>
          </w:tcPr>
          <w:p w14:paraId="16010D2F">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701" w:type="dxa"/>
            <w:vAlign w:val="top"/>
          </w:tcPr>
          <w:p w14:paraId="123C3EC4">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449DA1FC">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0A68EFC7">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11ADD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92D4F34">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top"/>
          </w:tcPr>
          <w:p w14:paraId="33AA6436">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701" w:type="dxa"/>
            <w:vAlign w:val="top"/>
          </w:tcPr>
          <w:p w14:paraId="228DA923">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289484EB">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3CAE4D1A">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57547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71EB0869">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top"/>
          </w:tcPr>
          <w:p w14:paraId="0228D7D4">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701" w:type="dxa"/>
            <w:vAlign w:val="top"/>
          </w:tcPr>
          <w:p w14:paraId="4C5DB64D">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60F37A5A">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17B69704">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bl>
    <w:p w14:paraId="440FEDC2">
      <w:pPr>
        <w:pStyle w:val="2"/>
        <w:ind w:left="1080" w:leftChars="257" w:hanging="540"/>
        <w:rPr>
          <w:rFonts w:ascii="仿宋" w:hAnsi="仿宋" w:eastAsia="仿宋" w:cs="仿宋"/>
          <w:color w:val="000000" w:themeColor="text1"/>
          <w:sz w:val="24"/>
          <w:szCs w:val="24"/>
          <w:highlight w:val="none"/>
          <w14:textFill>
            <w14:solidFill>
              <w14:schemeClr w14:val="tx1"/>
            </w14:solidFill>
          </w14:textFill>
        </w:rPr>
      </w:pPr>
    </w:p>
    <w:p w14:paraId="26FA7682">
      <w:pPr>
        <w:spacing w:before="120" w:after="120" w:line="360" w:lineRule="auto"/>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11AF6EF0">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696D9D0D">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211267E2">
      <w:pPr>
        <w:snapToGrid w:val="0"/>
        <w:spacing w:after="120" w:afterLines="50"/>
        <w:ind w:left="910" w:leftChars="203" w:hanging="484" w:hangingChars="202"/>
        <w:rPr>
          <w:rFonts w:hint="eastAsia" w:ascii="仿宋" w:hAnsi="仿宋" w:eastAsia="仿宋" w:cs="仿宋"/>
          <w:color w:val="000000" w:themeColor="text1"/>
          <w:sz w:val="24"/>
          <w:highlight w:val="none"/>
          <w14:textFill>
            <w14:solidFill>
              <w14:schemeClr w14:val="tx1"/>
            </w14:solidFill>
          </w14:textFill>
        </w:rPr>
      </w:pPr>
    </w:p>
    <w:p w14:paraId="582A3BE3">
      <w:pPr>
        <w:snapToGrid w:val="0"/>
        <w:spacing w:after="120" w:afterLines="5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注：</w:t>
      </w:r>
      <w:r>
        <w:rPr>
          <w:rFonts w:hint="eastAsia" w:ascii="仿宋" w:hAnsi="仿宋" w:eastAsia="仿宋" w:cs="仿宋"/>
          <w:color w:val="000000" w:themeColor="text1"/>
          <w:highlight w:val="none"/>
          <w14:textFill>
            <w14:solidFill>
              <w14:schemeClr w14:val="tx1"/>
            </w14:solidFill>
          </w14:textFill>
        </w:rPr>
        <w:t>1、对完全响应的，在</w:t>
      </w:r>
      <w:r>
        <w:rPr>
          <w:rFonts w:hint="eastAsia" w:ascii="仿宋" w:hAnsi="仿宋" w:eastAsia="仿宋" w:cs="仿宋"/>
          <w:color w:val="000000" w:themeColor="text1"/>
          <w:highlight w:val="none"/>
          <w:lang w:val="en-US" w:eastAsia="zh-CN"/>
          <w14:textFill>
            <w14:solidFill>
              <w14:schemeClr w14:val="tx1"/>
            </w14:solidFill>
          </w14:textFill>
        </w:rPr>
        <w:t>本</w:t>
      </w:r>
      <w:r>
        <w:rPr>
          <w:rFonts w:hint="eastAsia" w:ascii="仿宋" w:hAnsi="仿宋" w:eastAsia="仿宋" w:cs="仿宋"/>
          <w:color w:val="000000" w:themeColor="text1"/>
          <w:highlight w:val="none"/>
          <w14:textFill>
            <w14:solidFill>
              <w14:schemeClr w14:val="tx1"/>
            </w14:solidFill>
          </w14:textFill>
        </w:rPr>
        <w:t>表相应列中标注“√”。对有偏离的条目在本表相应列中标注“正偏离”或“负偏离”，并在“偏离简述”栏中加以说明。</w:t>
      </w:r>
    </w:p>
    <w:p w14:paraId="6103DC72">
      <w:pPr>
        <w:snapToGrid w:val="0"/>
        <w:spacing w:after="120" w:afterLines="50"/>
        <w:ind w:left="850" w:leftChars="203" w:hanging="424" w:hangingChars="202"/>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正偏离是指应答的条件高于磋商文件要求，负偏离是指应答的条件低于磋商文件要求，正偏离项目不作扣分处理。</w:t>
      </w:r>
    </w:p>
    <w:p w14:paraId="7E867CA9">
      <w:pPr>
        <w:snapToGrid w:val="0"/>
        <w:spacing w:after="120" w:afterLines="50"/>
        <w:ind w:left="850" w:leftChars="203" w:hanging="424" w:hangingChars="202"/>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供应商须完整填写响应表。如果未完整填写本表的各项内容则视作供应商已经对磋商文件相关要求和内容完全理解并同意，其报价为在此基础上的完全价格</w:t>
      </w:r>
      <w:r>
        <w:rPr>
          <w:rFonts w:hint="eastAsia" w:ascii="仿宋" w:hAnsi="仿宋" w:eastAsia="仿宋" w:cs="仿宋"/>
          <w:color w:val="000000" w:themeColor="text1"/>
          <w:kern w:val="0"/>
          <w:szCs w:val="21"/>
          <w14:textFill>
            <w14:solidFill>
              <w14:schemeClr w14:val="tx1"/>
            </w14:solidFill>
          </w14:textFill>
        </w:rPr>
        <w:t>。</w:t>
      </w:r>
    </w:p>
    <w:p w14:paraId="31DB967B">
      <w:pPr>
        <w:snapToGrid w:val="0"/>
        <w:spacing w:after="120" w:afterLines="50"/>
        <w:ind w:left="850" w:leftChars="203" w:hanging="424" w:hangingChars="202"/>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4771853B">
      <w:pPr>
        <w:rPr>
          <w:rFonts w:ascii="仿宋" w:hAnsi="仿宋" w:eastAsia="仿宋" w:cs="仿宋"/>
          <w:b/>
          <w:color w:val="000000" w:themeColor="text1"/>
          <w:sz w:val="28"/>
          <w:szCs w:val="28"/>
          <w:highlight w:val="none"/>
          <w14:textFill>
            <w14:solidFill>
              <w14:schemeClr w14:val="tx1"/>
            </w14:solidFill>
          </w14:textFill>
        </w:rPr>
      </w:pPr>
      <w:bookmarkStart w:id="0" w:name="_Toc414445775"/>
      <w:bookmarkStart w:id="1" w:name="_Toc410631184"/>
      <w:bookmarkStart w:id="2" w:name="_Toc7005136"/>
      <w:bookmarkStart w:id="3" w:name="_Toc416103825"/>
      <w:r>
        <w:rPr>
          <w:rFonts w:hint="eastAsia" w:ascii="仿宋" w:hAnsi="仿宋" w:eastAsia="仿宋" w:cs="仿宋"/>
          <w:b/>
          <w:color w:val="000000" w:themeColor="text1"/>
          <w:sz w:val="28"/>
          <w:szCs w:val="28"/>
          <w:highlight w:val="none"/>
          <w14:textFill>
            <w14:solidFill>
              <w14:schemeClr w14:val="tx1"/>
            </w14:solidFill>
          </w14:textFill>
        </w:rPr>
        <w:br w:type="page"/>
      </w:r>
    </w:p>
    <w:p w14:paraId="0F786318">
      <w:pPr>
        <w:jc w:val="center"/>
        <w:rPr>
          <w:rFonts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二、技术偏离表</w:t>
      </w:r>
      <w:bookmarkEnd w:id="0"/>
      <w:bookmarkEnd w:id="1"/>
      <w:bookmarkEnd w:id="2"/>
      <w:bookmarkEnd w:id="3"/>
    </w:p>
    <w:p w14:paraId="7D8137C5">
      <w:pPr>
        <w:spacing w:after="240"/>
        <w:ind w:hanging="119"/>
        <w:rPr>
          <w:rFonts w:ascii="仿宋" w:hAnsi="仿宋" w:eastAsia="仿宋" w:cs="仿宋"/>
          <w:color w:val="000000" w:themeColor="text1"/>
          <w:highlight w:val="none"/>
          <w14:textFill>
            <w14:solidFill>
              <w14:schemeClr w14:val="tx1"/>
            </w14:solidFill>
          </w14:textFill>
        </w:rPr>
      </w:pPr>
    </w:p>
    <w:p w14:paraId="353B7517">
      <w:pPr>
        <w:spacing w:after="240"/>
        <w:ind w:left="105" w:leftChars="50" w:firstLine="360" w:firstLineChars="15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项目编号:</w:t>
      </w:r>
    </w:p>
    <w:tbl>
      <w:tblPr>
        <w:tblStyle w:val="3"/>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137C36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43406114">
            <w:pPr>
              <w:spacing w:line="400" w:lineRule="exact"/>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磋商文件条目号</w:t>
            </w:r>
          </w:p>
        </w:tc>
        <w:tc>
          <w:tcPr>
            <w:tcW w:w="1932" w:type="dxa"/>
            <w:vAlign w:val="top"/>
          </w:tcPr>
          <w:p w14:paraId="428CE365">
            <w:pPr>
              <w:spacing w:line="400" w:lineRule="exact"/>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技术条款要求</w:t>
            </w:r>
          </w:p>
        </w:tc>
        <w:tc>
          <w:tcPr>
            <w:tcW w:w="1236" w:type="dxa"/>
            <w:vAlign w:val="top"/>
          </w:tcPr>
          <w:p w14:paraId="15B30397">
            <w:pPr>
              <w:spacing w:line="400" w:lineRule="exact"/>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完全响应</w:t>
            </w:r>
          </w:p>
        </w:tc>
        <w:tc>
          <w:tcPr>
            <w:tcW w:w="1236" w:type="dxa"/>
            <w:vAlign w:val="top"/>
          </w:tcPr>
          <w:p w14:paraId="3114AB13">
            <w:pPr>
              <w:spacing w:line="400" w:lineRule="exact"/>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有偏离</w:t>
            </w:r>
          </w:p>
        </w:tc>
        <w:tc>
          <w:tcPr>
            <w:tcW w:w="2394" w:type="dxa"/>
            <w:vAlign w:val="top"/>
          </w:tcPr>
          <w:p w14:paraId="56CA86C5">
            <w:pPr>
              <w:spacing w:line="400" w:lineRule="exact"/>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偏离简述</w:t>
            </w:r>
          </w:p>
        </w:tc>
      </w:tr>
      <w:tr w14:paraId="5E3A65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1E33003D">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1EB3F24D">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352C5FF7">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14DD4A88">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5C610C23">
            <w:pPr>
              <w:spacing w:line="400" w:lineRule="exact"/>
              <w:rPr>
                <w:rFonts w:ascii="仿宋" w:hAnsi="仿宋" w:eastAsia="仿宋" w:cs="仿宋"/>
                <w:color w:val="000000" w:themeColor="text1"/>
                <w:sz w:val="24"/>
                <w:highlight w:val="none"/>
                <w14:textFill>
                  <w14:solidFill>
                    <w14:schemeClr w14:val="tx1"/>
                  </w14:solidFill>
                </w14:textFill>
              </w:rPr>
            </w:pPr>
          </w:p>
        </w:tc>
      </w:tr>
      <w:tr w14:paraId="65FCFA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22F2127E">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6A052A6C">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0F3E0568">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42029080">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68F222E9">
            <w:pPr>
              <w:spacing w:line="400" w:lineRule="exact"/>
              <w:rPr>
                <w:rFonts w:ascii="仿宋" w:hAnsi="仿宋" w:eastAsia="仿宋" w:cs="仿宋"/>
                <w:color w:val="000000" w:themeColor="text1"/>
                <w:sz w:val="24"/>
                <w:highlight w:val="none"/>
                <w14:textFill>
                  <w14:solidFill>
                    <w14:schemeClr w14:val="tx1"/>
                  </w14:solidFill>
                </w14:textFill>
              </w:rPr>
            </w:pPr>
          </w:p>
        </w:tc>
      </w:tr>
      <w:tr w14:paraId="46A2D3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2DAD1DF7">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077C2E2A">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36292E53">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68D24875">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1D49ABAF">
            <w:pPr>
              <w:spacing w:line="400" w:lineRule="exact"/>
              <w:rPr>
                <w:rFonts w:ascii="仿宋" w:hAnsi="仿宋" w:eastAsia="仿宋" w:cs="仿宋"/>
                <w:color w:val="000000" w:themeColor="text1"/>
                <w:sz w:val="24"/>
                <w:highlight w:val="none"/>
                <w14:textFill>
                  <w14:solidFill>
                    <w14:schemeClr w14:val="tx1"/>
                  </w14:solidFill>
                </w14:textFill>
              </w:rPr>
            </w:pPr>
          </w:p>
        </w:tc>
      </w:tr>
      <w:tr w14:paraId="5BCBFD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6F081CEE">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0CC54F48">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3A51EECD">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7E302964">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0215DA08">
            <w:pPr>
              <w:spacing w:line="400" w:lineRule="exact"/>
              <w:rPr>
                <w:rFonts w:ascii="仿宋" w:hAnsi="仿宋" w:eastAsia="仿宋" w:cs="仿宋"/>
                <w:color w:val="000000" w:themeColor="text1"/>
                <w:sz w:val="24"/>
                <w:highlight w:val="none"/>
                <w14:textFill>
                  <w14:solidFill>
                    <w14:schemeClr w14:val="tx1"/>
                  </w14:solidFill>
                </w14:textFill>
              </w:rPr>
            </w:pPr>
          </w:p>
        </w:tc>
      </w:tr>
      <w:tr w14:paraId="478959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3050DFCF">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017C272C">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6EF43BCC">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00E2FFD6">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2E269E58">
            <w:pPr>
              <w:spacing w:line="400" w:lineRule="exact"/>
              <w:rPr>
                <w:rFonts w:ascii="仿宋" w:hAnsi="仿宋" w:eastAsia="仿宋" w:cs="仿宋"/>
                <w:color w:val="000000" w:themeColor="text1"/>
                <w:sz w:val="24"/>
                <w:highlight w:val="none"/>
                <w14:textFill>
                  <w14:solidFill>
                    <w14:schemeClr w14:val="tx1"/>
                  </w14:solidFill>
                </w14:textFill>
              </w:rPr>
            </w:pPr>
          </w:p>
        </w:tc>
      </w:tr>
      <w:tr w14:paraId="296F74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4C67DF4D">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18FEEA08">
            <w:pPr>
              <w:spacing w:line="400" w:lineRule="exact"/>
              <w:rPr>
                <w:rFonts w:ascii="仿宋" w:hAnsi="仿宋" w:eastAsia="仿宋" w:cs="仿宋"/>
                <w:bCs/>
                <w:color w:val="000000" w:themeColor="text1"/>
                <w:sz w:val="24"/>
                <w:highlight w:val="none"/>
                <w14:textFill>
                  <w14:solidFill>
                    <w14:schemeClr w14:val="tx1"/>
                  </w14:solidFill>
                </w14:textFill>
              </w:rPr>
            </w:pPr>
          </w:p>
        </w:tc>
        <w:tc>
          <w:tcPr>
            <w:tcW w:w="1236" w:type="dxa"/>
            <w:vAlign w:val="top"/>
          </w:tcPr>
          <w:p w14:paraId="3C5EEBB7">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3EDDAE16">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516AAB74">
            <w:pPr>
              <w:spacing w:line="400" w:lineRule="exact"/>
              <w:rPr>
                <w:rFonts w:ascii="仿宋" w:hAnsi="仿宋" w:eastAsia="仿宋" w:cs="仿宋"/>
                <w:color w:val="000000" w:themeColor="text1"/>
                <w:sz w:val="24"/>
                <w:highlight w:val="none"/>
                <w14:textFill>
                  <w14:solidFill>
                    <w14:schemeClr w14:val="tx1"/>
                  </w14:solidFill>
                </w14:textFill>
              </w:rPr>
            </w:pPr>
          </w:p>
        </w:tc>
      </w:tr>
      <w:tr w14:paraId="7734BE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38954447">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24519E4C">
            <w:pPr>
              <w:spacing w:line="400" w:lineRule="exact"/>
              <w:rPr>
                <w:rFonts w:ascii="仿宋" w:hAnsi="仿宋" w:eastAsia="仿宋" w:cs="仿宋"/>
                <w:bCs/>
                <w:color w:val="000000" w:themeColor="text1"/>
                <w:sz w:val="24"/>
                <w:highlight w:val="none"/>
                <w14:textFill>
                  <w14:solidFill>
                    <w14:schemeClr w14:val="tx1"/>
                  </w14:solidFill>
                </w14:textFill>
              </w:rPr>
            </w:pPr>
          </w:p>
        </w:tc>
        <w:tc>
          <w:tcPr>
            <w:tcW w:w="1236" w:type="dxa"/>
            <w:vAlign w:val="top"/>
          </w:tcPr>
          <w:p w14:paraId="1917A031">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5BE35422">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4111B2B8">
            <w:pPr>
              <w:spacing w:line="400" w:lineRule="exact"/>
              <w:rPr>
                <w:rFonts w:ascii="仿宋" w:hAnsi="仿宋" w:eastAsia="仿宋" w:cs="仿宋"/>
                <w:color w:val="000000" w:themeColor="text1"/>
                <w:sz w:val="24"/>
                <w:highlight w:val="none"/>
                <w14:textFill>
                  <w14:solidFill>
                    <w14:schemeClr w14:val="tx1"/>
                  </w14:solidFill>
                </w14:textFill>
              </w:rPr>
            </w:pPr>
          </w:p>
        </w:tc>
      </w:tr>
    </w:tbl>
    <w:p w14:paraId="43782FBB">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502791C">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A860225">
      <w:pPr>
        <w:spacing w:before="120" w:after="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39981067">
      <w:pPr>
        <w:spacing w:line="360" w:lineRule="auto"/>
        <w:rPr>
          <w:rFonts w:ascii="仿宋" w:hAnsi="仿宋" w:eastAsia="仿宋" w:cs="仿宋"/>
          <w:color w:val="000000" w:themeColor="text1"/>
          <w:highlight w:val="none"/>
          <w14:textFill>
            <w14:solidFill>
              <w14:schemeClr w14:val="tx1"/>
            </w14:solidFill>
          </w14:textFill>
        </w:rPr>
      </w:pPr>
    </w:p>
    <w:p w14:paraId="35EC226D">
      <w:pPr>
        <w:snapToGrid w:val="0"/>
        <w:spacing w:after="120" w:afterLines="50"/>
        <w:ind w:left="850" w:hanging="850" w:hangingChars="405"/>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注：1.</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对完全响应的条目在本表相应列中标注“√”。对有偏离的条目在本表相应列中标注“正偏离”或“负偏离”。并在“偏离简述”栏中加以说明。</w:t>
      </w:r>
    </w:p>
    <w:p w14:paraId="33B262B4">
      <w:pPr>
        <w:tabs>
          <w:tab w:val="left" w:pos="1200"/>
        </w:tabs>
        <w:snapToGrid w:val="0"/>
        <w:spacing w:after="120" w:afterLines="50"/>
        <w:ind w:left="850" w:leftChars="203" w:hanging="424" w:hangingChars="202"/>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正偏离是指应答的条件高于磋商文件要求，负偏离是指应答的条件低于磋商文件要求，正偏离项目不作扣分处理。</w:t>
      </w:r>
    </w:p>
    <w:p w14:paraId="18AB217A">
      <w:pPr>
        <w:snapToGrid w:val="0"/>
        <w:spacing w:after="120" w:afterLines="50"/>
        <w:ind w:left="850" w:leftChars="203" w:hanging="424" w:hangingChars="202"/>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供应商须完整填写响应表。如果未完整填写响应表的各项内容则视作供应商已经对磋商文件相关要求和内容完全理解并同意，其报价为在此基础上的完全价格</w:t>
      </w:r>
      <w:r>
        <w:rPr>
          <w:rFonts w:hint="eastAsia" w:ascii="仿宋" w:hAnsi="仿宋" w:eastAsia="仿宋" w:cs="仿宋"/>
          <w:color w:val="000000" w:themeColor="text1"/>
          <w:kern w:val="0"/>
          <w:szCs w:val="21"/>
          <w14:textFill>
            <w14:solidFill>
              <w14:schemeClr w14:val="tx1"/>
            </w14:solidFill>
          </w14:textFill>
        </w:rPr>
        <w:t>。</w:t>
      </w:r>
    </w:p>
    <w:p w14:paraId="542BA1A6">
      <w:pPr>
        <w:tabs>
          <w:tab w:val="left" w:pos="1200"/>
        </w:tabs>
        <w:snapToGrid w:val="0"/>
        <w:spacing w:after="120" w:afterLines="50"/>
        <w:ind w:left="850" w:leftChars="203" w:hanging="424" w:hangingChars="202"/>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131C6ED6">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9924CD"/>
    <w:rsid w:val="2F992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2025-06-04T02:06:00Z</dcterms:created>
  <dc:creator>LXL</dc:creator>
  <cp:lastModifiedBy>LXL</cp:lastModifiedBy>
  <dcterms:modified xsi:type="dcterms:W3CDTF">2025-06-04T02:06:32Z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B1D4CE6B4C744E51BE631F0AD4156BA6_11</vt:lpwstr>
  </property>
  <property fmtid="{D5CDD505-2E9C-101B-9397-08002B2CF9AE}" pid="4" name="KSOTemplateDocerSaveRecord">
    <vt:lpwstr>eyJoZGlkIjoiNzM4MTkxNzRlYmUxODI2NGVkYjM2NmFkN2VjYmQ4NWMiLCJ1c2VySWQiOiIzMjM5MjAwNzkifQ==</vt:lpwstr>
  </property>
</Properties>
</file>