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版本号：HXCT-ZFCG-2025-01920250606001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2025年富平县美原镇团结村道路硬化项目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HXCT-ZFCG-2025-019</w:t>
      </w:r>
      <w:r>
        <w:br/>
      </w:r>
      <w:r>
        <w:br/>
      </w:r>
      <w:r>
        <w:br/>
      </w:r>
    </w:p>
    <w:p>
      <w:pPr>
        <w:pStyle w:val="null3"/>
        <w:jc w:val="center"/>
        <w:outlineLvl w:val="2"/>
      </w:pPr>
      <w:r>
        <w:rPr>
          <w:rFonts w:ascii="仿宋_GB2312" w:hAnsi="仿宋_GB2312" w:cs="仿宋_GB2312" w:eastAsia="仿宋_GB2312"/>
          <w:sz w:val="28"/>
          <w:b/>
        </w:rPr>
        <w:t>富平县美原镇人民政府（本级）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富平县美原镇人民政府（本级）</w:t>
      </w:r>
      <w:r>
        <w:rPr>
          <w:rFonts w:ascii="仿宋_GB2312" w:hAnsi="仿宋_GB2312" w:cs="仿宋_GB2312" w:eastAsia="仿宋_GB2312"/>
        </w:rPr>
        <w:t>委托，拟对</w:t>
      </w:r>
      <w:r>
        <w:rPr>
          <w:rFonts w:ascii="仿宋_GB2312" w:hAnsi="仿宋_GB2312" w:cs="仿宋_GB2312" w:eastAsia="仿宋_GB2312"/>
        </w:rPr>
        <w:t>2025年富平县美原镇团结村道路硬化项目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2025年富平县美原镇团结村道路硬化项目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2025年富平县美原镇团结村道路硬化项目，主要建设内容混凝土硬化路面5160㎡，厚度18cm。道路加宽645㎡（路基3:7灰土基层）。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采购包1（2025年富平县美原镇团结村道路硬化项目）：属于专门面向中小企业采购。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并加盖公章）；法定代表人参加投标只须提供法定代表人身份证明（附法定代表人身份证复印件并加盖公章）：法定代表人授权委托书（附法定代表人、被授权人身份证复印件并加盖公章）；法定代表人参加投标只须提供法定代表人身份证明（附法定代表人身份证复印件并加盖公章）；</w:t>
      </w:r>
    </w:p>
    <w:p>
      <w:pPr>
        <w:pStyle w:val="null3"/>
      </w:pPr>
      <w:r>
        <w:rPr>
          <w:rFonts w:ascii="仿宋_GB2312" w:hAnsi="仿宋_GB2312" w:cs="仿宋_GB2312" w:eastAsia="仿宋_GB2312"/>
        </w:rPr>
        <w:t>3、须具备建筑工程或市政公用工程施工总承包三级及以上资质：须具备建筑工程或市政公用工程施工总承包三级及以上资质；</w:t>
      </w:r>
    </w:p>
    <w:p>
      <w:pPr>
        <w:pStyle w:val="null3"/>
      </w:pPr>
      <w:r>
        <w:rPr>
          <w:rFonts w:ascii="仿宋_GB2312" w:hAnsi="仿宋_GB2312" w:cs="仿宋_GB2312" w:eastAsia="仿宋_GB2312"/>
        </w:rPr>
        <w:t>4、须具有建设行政主管部门核发有效的安全生产许可证：须具有建设行政主管部门核发有效的安全生产许可证；</w:t>
      </w:r>
    </w:p>
    <w:p>
      <w:pPr>
        <w:pStyle w:val="null3"/>
      </w:pPr>
      <w:r>
        <w:rPr>
          <w:rFonts w:ascii="仿宋_GB2312" w:hAnsi="仿宋_GB2312" w:cs="仿宋_GB2312" w:eastAsia="仿宋_GB2312"/>
        </w:rPr>
        <w:t>5、拟派项目经理须具备建筑工程或市政公用工程注册建造师二级及以上资格和有效的安全生产考核合格证书，须提供项目经理无在建工程的相关证明材料或承诺书：拟派项目经理须具备建筑工程或市政公用工程注册建造师二级及以上资格和有效的安全生产考核合格证书，须提供项目经理无在建工程的相关证明材料或承诺书；</w:t>
      </w:r>
    </w:p>
    <w:p>
      <w:pPr>
        <w:pStyle w:val="null3"/>
      </w:pPr>
      <w:r>
        <w:rPr>
          <w:rFonts w:ascii="仿宋_GB2312" w:hAnsi="仿宋_GB2312" w:cs="仿宋_GB2312" w:eastAsia="仿宋_GB2312"/>
        </w:rPr>
        <w:t>6、须提供2023年至今任意一年经审计的财务报告（成立时间至提交磋商响应文件截止时间不足一年的可提供成立后任意时段的财务报表）：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须提供依法缴纳税收的良好记录（提供递交磋商响应文件截止时间前六个月内任意一个月份的缴纳凭据复印件并加盖单位公章。依法免税或开标前一年内零申报的供应商应提供相关证明文件）：须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须提供依法缴纳社会保障资金的良好记录（提供递交磋商响应文件截止时间前六个月内任意一个月份的缴纳凭据复印件并加盖单位公章。依法不需要缴纳社会保障资金的供应商应提供相关证明文件）：须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富平县美原镇人民政府（本级）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富平县美原镇人民政府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0913-8811001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银行账号：9902001819076033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印发《招标代理服务收费管理暂行办法》的通知（计价格[2002]1980号）计算收取，不计入工程造价，按照《国家发展改革委办公厅关于招标代理服务收费有关问题的通知》（发改办价格[2003]857号）规定向成交供应商收取。造价咨询服务费按（陕价行发[2014]88号文件）计算收取，不计入工程造价，由成交供应商支付。 2、若本次招标失败（非代理机构原因），招标代理服务费和造价咨询服务费由采购人支付。 3、具体金额详见中标（成交）结果公告，在领取成交通知书时向采购代理机构一次付清（现金或转账）。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富平县美原镇人民政府（本级）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富平县美原镇人民政府（本级）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富平县美原镇人民政府（本级）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质量标准:合格。执行现行的国家标准或国家行政部门颁布的法律法规、规章制度等，没有国家标准的，参考行业标准。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770,900.00</w:t>
      </w:r>
    </w:p>
    <w:p>
      <w:pPr>
        <w:pStyle w:val="null3"/>
      </w:pPr>
      <w:r>
        <w:rPr>
          <w:rFonts w:ascii="仿宋_GB2312" w:hAnsi="仿宋_GB2312" w:cs="仿宋_GB2312" w:eastAsia="仿宋_GB2312"/>
        </w:rPr>
        <w:t>采购包最高限价（元）: 769,704.65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2025年富平县美原镇团结村道路硬化项目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770,900.00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标的名称：2025年富平县美原镇团结村道路硬化项目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2025年富平县美原镇团结村道路硬化项目，主要建设内容混凝土硬化路面5160㎡，厚度18cm。道路加宽645㎡（路基3:7灰土基层）。</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w:t>
            </w:r>
            <w:r>
              <w:rPr>
                <w:rFonts w:ascii="仿宋_GB2312" w:hAnsi="仿宋_GB2312" w:cs="仿宋_GB2312" w:eastAsia="仿宋_GB2312"/>
                <w:sz w:val="24"/>
                <w:color w:val="000000"/>
              </w:rPr>
              <w:t>设</w:t>
            </w:r>
            <w:r>
              <w:rPr>
                <w:rFonts w:ascii="仿宋_GB2312" w:hAnsi="仿宋_GB2312" w:cs="仿宋_GB2312" w:eastAsia="仿宋_GB2312"/>
                <w:sz w:val="24"/>
                <w:color w:val="000000"/>
              </w:rPr>
              <w:t>工程工程量清单计价规则（</w:t>
            </w:r>
            <w:r>
              <w:rPr>
                <w:rFonts w:ascii="仿宋_GB2312" w:hAnsi="仿宋_GB2312" w:cs="仿宋_GB2312" w:eastAsia="仿宋_GB2312"/>
                <w:sz w:val="24"/>
                <w:color w:val="000000"/>
              </w:rPr>
              <w:t>2009）》；</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建筑装饰、安装工</w:t>
            </w:r>
            <w:r>
              <w:rPr>
                <w:rFonts w:ascii="仿宋_GB2312" w:hAnsi="仿宋_GB2312" w:cs="仿宋_GB2312" w:eastAsia="仿宋_GB2312"/>
                <w:sz w:val="24"/>
                <w:color w:val="000000"/>
              </w:rPr>
              <w:t>程消耗量定额（</w:t>
            </w:r>
            <w:r>
              <w:rPr>
                <w:rFonts w:ascii="仿宋_GB2312" w:hAnsi="仿宋_GB2312" w:cs="仿宋_GB2312" w:eastAsia="仿宋_GB2312"/>
                <w:sz w:val="24"/>
                <w:color w:val="000000"/>
              </w:rPr>
              <w:t>2004）》；</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建筑装饰、安装工程价目表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.《陕西省建设工程工程量清单计价费率（2009）》；</w:t>
            </w:r>
          </w:p>
          <w:p>
            <w:pPr>
              <w:pStyle w:val="null3"/>
              <w:spacing w:before="150" w:after="150"/>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主要材料价格依据《陕西工程造价管理信息》</w:t>
            </w:r>
            <w:r>
              <w:rPr>
                <w:rFonts w:ascii="仿宋_GB2312" w:hAnsi="仿宋_GB2312" w:cs="仿宋_GB2312" w:eastAsia="仿宋_GB2312"/>
                <w:sz w:val="24"/>
                <w:color w:val="000000"/>
              </w:rPr>
              <w:t>2025年（第4期）、《渭南工程造价信息》2025年（第二期）及当地市场价；</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 人工费执行陕建发【20</w:t>
            </w: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1097</w:t>
            </w:r>
            <w:r>
              <w:rPr>
                <w:rFonts w:ascii="仿宋_GB2312" w:hAnsi="仿宋_GB2312" w:cs="仿宋_GB2312" w:eastAsia="仿宋_GB2312"/>
                <w:sz w:val="24"/>
                <w:color w:val="000000"/>
              </w:rPr>
              <w:t>号文件；</w:t>
            </w:r>
          </w:p>
          <w:p>
            <w:pPr>
              <w:pStyle w:val="null3"/>
              <w:spacing w:before="150" w:after="150"/>
              <w:ind w:firstLine="480"/>
              <w:jc w:val="both"/>
            </w:pPr>
            <w:r>
              <w:rPr>
                <w:rFonts w:ascii="仿宋_GB2312" w:hAnsi="仿宋_GB2312" w:cs="仿宋_GB2312" w:eastAsia="仿宋_GB2312"/>
                <w:sz w:val="24"/>
                <w:color w:val="000000"/>
              </w:rPr>
              <w:t xml:space="preserve">8. </w:t>
            </w:r>
            <w:r>
              <w:rPr>
                <w:rFonts w:ascii="仿宋_GB2312" w:hAnsi="仿宋_GB2312" w:cs="仿宋_GB2312" w:eastAsia="仿宋_GB2312"/>
                <w:sz w:val="24"/>
                <w:color w:val="000000"/>
              </w:rPr>
              <w:t>建筑工人实名制管理计价依据的通知执行陕建发【</w:t>
            </w:r>
            <w:r>
              <w:rPr>
                <w:rFonts w:ascii="仿宋_GB2312" w:hAnsi="仿宋_GB2312" w:cs="仿宋_GB2312" w:eastAsia="仿宋_GB2312"/>
                <w:sz w:val="24"/>
                <w:color w:val="000000"/>
              </w:rPr>
              <w:t>2019】1246号文件；</w:t>
            </w:r>
          </w:p>
          <w:p>
            <w:pPr>
              <w:pStyle w:val="null3"/>
              <w:spacing w:before="150" w:after="150"/>
              <w:ind w:firstLine="480"/>
              <w:jc w:val="both"/>
            </w:pPr>
            <w:r>
              <w:rPr>
                <w:rFonts w:ascii="仿宋_GB2312" w:hAnsi="仿宋_GB2312" w:cs="仿宋_GB2312" w:eastAsia="仿宋_GB2312"/>
                <w:sz w:val="24"/>
                <w:color w:val="000000"/>
              </w:rPr>
              <w:t xml:space="preserve">9. </w:t>
            </w:r>
            <w:r>
              <w:rPr>
                <w:rFonts w:ascii="仿宋_GB2312" w:hAnsi="仿宋_GB2312" w:cs="仿宋_GB2312" w:eastAsia="仿宋_GB2312"/>
                <w:sz w:val="24"/>
                <w:color w:val="000000"/>
              </w:rPr>
              <w:t>建筑施工安全生产责任保险费用计价的通知执行陕建发【</w:t>
            </w:r>
            <w:r>
              <w:rPr>
                <w:rFonts w:ascii="仿宋_GB2312" w:hAnsi="仿宋_GB2312" w:cs="仿宋_GB2312" w:eastAsia="仿宋_GB2312"/>
                <w:sz w:val="24"/>
                <w:color w:val="000000"/>
              </w:rPr>
              <w:t>2020】1097号文件；</w:t>
            </w:r>
          </w:p>
          <w:p>
            <w:pPr>
              <w:pStyle w:val="null3"/>
              <w:spacing w:before="150" w:after="150"/>
              <w:ind w:firstLine="456"/>
              <w:jc w:val="both"/>
            </w:pPr>
            <w:r>
              <w:rPr>
                <w:rFonts w:ascii="仿宋_GB2312" w:hAnsi="仿宋_GB2312" w:cs="仿宋_GB2312" w:eastAsia="仿宋_GB2312"/>
                <w:sz w:val="24"/>
                <w:color w:val="000000"/>
              </w:rPr>
              <w:t>10.全省统一停止收缴建筑业劳保费用的通知</w:t>
            </w:r>
            <w:r>
              <w:rPr>
                <w:rFonts w:ascii="仿宋_GB2312" w:hAnsi="仿宋_GB2312" w:cs="仿宋_GB2312" w:eastAsia="仿宋_GB2312"/>
                <w:sz w:val="24"/>
                <w:color w:val="000000"/>
              </w:rPr>
              <w:t>执行陕建发【</w:t>
            </w:r>
            <w:r>
              <w:rPr>
                <w:rFonts w:ascii="仿宋_GB2312" w:hAnsi="仿宋_GB2312" w:cs="仿宋_GB2312" w:eastAsia="仿宋_GB2312"/>
                <w:sz w:val="24"/>
                <w:color w:val="000000"/>
              </w:rPr>
              <w:t>202</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21</w:t>
            </w:r>
            <w:r>
              <w:rPr>
                <w:rFonts w:ascii="仿宋_GB2312" w:hAnsi="仿宋_GB2312" w:cs="仿宋_GB2312" w:eastAsia="仿宋_GB2312"/>
                <w:sz w:val="24"/>
                <w:color w:val="000000"/>
              </w:rPr>
              <w:t>号文件；</w:t>
            </w:r>
          </w:p>
          <w:p>
            <w:pPr>
              <w:pStyle w:val="null3"/>
              <w:spacing w:before="150" w:after="150"/>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 采用广联达云计价平台GCCP6.0（6.</w:t>
            </w:r>
            <w:r>
              <w:rPr>
                <w:rFonts w:ascii="仿宋_GB2312" w:hAnsi="仿宋_GB2312" w:cs="仿宋_GB2312" w:eastAsia="仿宋_GB2312"/>
                <w:sz w:val="24"/>
                <w:color w:val="000000"/>
              </w:rPr>
              <w:t>41</w:t>
            </w:r>
            <w:r>
              <w:rPr>
                <w:rFonts w:ascii="仿宋_GB2312" w:hAnsi="仿宋_GB2312" w:cs="仿宋_GB2312" w:eastAsia="仿宋_GB2312"/>
                <w:sz w:val="24"/>
                <w:color w:val="000000"/>
              </w:rPr>
              <w:t>00.23.</w:t>
            </w:r>
            <w:r>
              <w:rPr>
                <w:rFonts w:ascii="仿宋_GB2312" w:hAnsi="仿宋_GB2312" w:cs="仿宋_GB2312" w:eastAsia="仿宋_GB2312"/>
                <w:sz w:val="24"/>
                <w:color w:val="000000"/>
              </w:rPr>
              <w:t>122</w:t>
            </w:r>
            <w:r>
              <w:rPr>
                <w:rFonts w:ascii="仿宋_GB2312" w:hAnsi="仿宋_GB2312" w:cs="仿宋_GB2312" w:eastAsia="仿宋_GB2312"/>
                <w:sz w:val="24"/>
                <w:color w:val="000000"/>
              </w:rPr>
              <w:t>）版本编制。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1、混凝土按商品混凝土考虑。</w:t>
            </w:r>
          </w:p>
          <w:tbl>
            <w:tblPr>
              <w:tblBorders>
                <w:top w:val="single"/>
                <w:left w:val="single"/>
                <w:bottom w:val="single"/>
                <w:right w:val="single"/>
                <w:insideH w:val="single"/>
                <w:insideV w:val="single"/>
              </w:tblBorders>
            </w:tblPr>
            <w:tblGrid>
              <w:gridCol w:w="244"/>
              <w:gridCol w:w="193"/>
              <w:gridCol w:w="193"/>
              <w:gridCol w:w="193"/>
              <w:gridCol w:w="193"/>
              <w:gridCol w:w="193"/>
              <w:gridCol w:w="193"/>
              <w:gridCol w:w="193"/>
              <w:gridCol w:w="193"/>
              <w:gridCol w:w="193"/>
              <w:gridCol w:w="566"/>
            </w:tblGrid>
            <w:tr>
              <w:tc>
                <w:tcPr>
                  <w:tcW w:type="dxa" w:w="2547"/>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3"/>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2025年富平县美原镇团结村道路硬化项目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专业：市政土建</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040203005001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混凝土硬化</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1.混凝土强度等级、石料最大粒径:C25</w:t>
                  </w:r>
                  <w:r>
                    <w:br/>
                  </w:r>
                  <w:r>
                    <w:rPr>
                      <w:rFonts w:ascii="仿宋_GB2312" w:hAnsi="仿宋_GB2312" w:cs="仿宋_GB2312" w:eastAsia="仿宋_GB2312"/>
                      <w:sz w:val="18"/>
                      <w:color w:val="000000"/>
                    </w:rPr>
                    <w:t>2.厚度:18cm</w:t>
                  </w:r>
                  <w:r>
                    <w:br/>
                  </w:r>
                  <w:r>
                    <w:rPr>
                      <w:rFonts w:ascii="仿宋_GB2312" w:hAnsi="仿宋_GB2312" w:cs="仿宋_GB2312" w:eastAsia="仿宋_GB2312"/>
                      <w:sz w:val="18"/>
                      <w:color w:val="000000"/>
                    </w:rPr>
                    <w:t>3.路床碾压</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1.混凝土浇筑</w:t>
                  </w:r>
                  <w:r>
                    <w:br/>
                  </w:r>
                  <w:r>
                    <w:rPr>
                      <w:rFonts w:ascii="仿宋_GB2312" w:hAnsi="仿宋_GB2312" w:cs="仿宋_GB2312" w:eastAsia="仿宋_GB2312"/>
                      <w:sz w:val="18"/>
                      <w:color w:val="000000"/>
                    </w:rPr>
                    <w:t>2.拉毛或压痕</w:t>
                  </w:r>
                  <w:r>
                    <w:br/>
                  </w:r>
                  <w:r>
                    <w:rPr>
                      <w:rFonts w:ascii="仿宋_GB2312" w:hAnsi="仿宋_GB2312" w:cs="仿宋_GB2312" w:eastAsia="仿宋_GB2312"/>
                      <w:sz w:val="18"/>
                      <w:color w:val="000000"/>
                    </w:rPr>
                    <w:t>3.伸缝</w:t>
                  </w:r>
                  <w:r>
                    <w:br/>
                  </w:r>
                  <w:r>
                    <w:rPr>
                      <w:rFonts w:ascii="仿宋_GB2312" w:hAnsi="仿宋_GB2312" w:cs="仿宋_GB2312" w:eastAsia="仿宋_GB2312"/>
                      <w:sz w:val="18"/>
                      <w:color w:val="000000"/>
                    </w:rPr>
                    <w:t>4.缩缝</w:t>
                  </w:r>
                  <w:r>
                    <w:br/>
                  </w:r>
                  <w:r>
                    <w:rPr>
                      <w:rFonts w:ascii="仿宋_GB2312" w:hAnsi="仿宋_GB2312" w:cs="仿宋_GB2312" w:eastAsia="仿宋_GB2312"/>
                      <w:sz w:val="18"/>
                      <w:color w:val="000000"/>
                    </w:rPr>
                    <w:t>5.锯缝</w:t>
                  </w:r>
                  <w:r>
                    <w:br/>
                  </w:r>
                  <w:r>
                    <w:rPr>
                      <w:rFonts w:ascii="仿宋_GB2312" w:hAnsi="仿宋_GB2312" w:cs="仿宋_GB2312" w:eastAsia="仿宋_GB2312"/>
                      <w:sz w:val="18"/>
                      <w:color w:val="000000"/>
                    </w:rPr>
                    <w:t>6.嵌缝</w:t>
                  </w:r>
                  <w:r>
                    <w:br/>
                  </w:r>
                  <w:r>
                    <w:rPr>
                      <w:rFonts w:ascii="仿宋_GB2312" w:hAnsi="仿宋_GB2312" w:cs="仿宋_GB2312" w:eastAsia="仿宋_GB2312"/>
                      <w:sz w:val="18"/>
                      <w:color w:val="000000"/>
                    </w:rPr>
                    <w:t>7.路面养生</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5160 </w:t>
                  </w: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040203005002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道路加宽</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1.混凝土强度等级、石料最大粒径:C25</w:t>
                  </w:r>
                  <w:r>
                    <w:br/>
                  </w:r>
                  <w:r>
                    <w:rPr>
                      <w:rFonts w:ascii="仿宋_GB2312" w:hAnsi="仿宋_GB2312" w:cs="仿宋_GB2312" w:eastAsia="仿宋_GB2312"/>
                      <w:sz w:val="18"/>
                      <w:color w:val="000000"/>
                    </w:rPr>
                    <w:t>2.厚度:18cm</w:t>
                  </w:r>
                  <w:r>
                    <w:br/>
                  </w:r>
                  <w:r>
                    <w:rPr>
                      <w:rFonts w:ascii="仿宋_GB2312" w:hAnsi="仿宋_GB2312" w:cs="仿宋_GB2312" w:eastAsia="仿宋_GB2312"/>
                      <w:sz w:val="18"/>
                      <w:color w:val="000000"/>
                    </w:rPr>
                    <w:t>3.15cm3:7灰土</w:t>
                  </w:r>
                  <w:r>
                    <w:br/>
                  </w:r>
                  <w:r>
                    <w:rPr>
                      <w:rFonts w:ascii="仿宋_GB2312" w:hAnsi="仿宋_GB2312" w:cs="仿宋_GB2312" w:eastAsia="仿宋_GB2312"/>
                      <w:sz w:val="18"/>
                      <w:color w:val="000000"/>
                    </w:rPr>
                    <w:t>4.路床碾压</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1.混凝土浇筑</w:t>
                  </w:r>
                  <w:r>
                    <w:br/>
                  </w:r>
                  <w:r>
                    <w:rPr>
                      <w:rFonts w:ascii="仿宋_GB2312" w:hAnsi="仿宋_GB2312" w:cs="仿宋_GB2312" w:eastAsia="仿宋_GB2312"/>
                      <w:sz w:val="18"/>
                      <w:color w:val="000000"/>
                    </w:rPr>
                    <w:t>2.拉毛或压痕</w:t>
                  </w:r>
                  <w:r>
                    <w:br/>
                  </w:r>
                  <w:r>
                    <w:rPr>
                      <w:rFonts w:ascii="仿宋_GB2312" w:hAnsi="仿宋_GB2312" w:cs="仿宋_GB2312" w:eastAsia="仿宋_GB2312"/>
                      <w:sz w:val="18"/>
                      <w:color w:val="000000"/>
                    </w:rPr>
                    <w:t>3.伸缝</w:t>
                  </w:r>
                  <w:r>
                    <w:br/>
                  </w:r>
                  <w:r>
                    <w:rPr>
                      <w:rFonts w:ascii="仿宋_GB2312" w:hAnsi="仿宋_GB2312" w:cs="仿宋_GB2312" w:eastAsia="仿宋_GB2312"/>
                      <w:sz w:val="18"/>
                      <w:color w:val="000000"/>
                    </w:rPr>
                    <w:t>4.缩缝</w:t>
                  </w:r>
                  <w:r>
                    <w:br/>
                  </w:r>
                  <w:r>
                    <w:rPr>
                      <w:rFonts w:ascii="仿宋_GB2312" w:hAnsi="仿宋_GB2312" w:cs="仿宋_GB2312" w:eastAsia="仿宋_GB2312"/>
                      <w:sz w:val="18"/>
                      <w:color w:val="000000"/>
                    </w:rPr>
                    <w:t>5.锯缝</w:t>
                  </w:r>
                  <w:r>
                    <w:br/>
                  </w:r>
                  <w:r>
                    <w:rPr>
                      <w:rFonts w:ascii="仿宋_GB2312" w:hAnsi="仿宋_GB2312" w:cs="仿宋_GB2312" w:eastAsia="仿宋_GB2312"/>
                      <w:sz w:val="18"/>
                      <w:color w:val="000000"/>
                    </w:rPr>
                    <w:t>6.嵌缝</w:t>
                  </w:r>
                  <w:r>
                    <w:br/>
                  </w:r>
                  <w:r>
                    <w:rPr>
                      <w:rFonts w:ascii="仿宋_GB2312" w:hAnsi="仿宋_GB2312" w:cs="仿宋_GB2312" w:eastAsia="仿宋_GB2312"/>
                      <w:sz w:val="18"/>
                      <w:color w:val="000000"/>
                    </w:rPr>
                    <w:t>7.路面养生</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645 </w:t>
                  </w: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外购土方</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1.外购土方（虚方量）</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100.91 </w:t>
                  </w: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7"/>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w:t>
                  </w:r>
                </w:p>
              </w:tc>
            </w:tr>
            <w:tr>
              <w:tc>
                <w:tcPr>
                  <w:tcW w:type="dxa" w:w="823"/>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2025年富平县美原镇团结村道路硬化项目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专业：市政土建</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安全文明施工(含环境保护、文明施工、安全施工、临</w:t>
                  </w:r>
                  <w:r>
                    <w:br/>
                  </w:r>
                  <w:r>
                    <w:rPr>
                      <w:rFonts w:ascii="仿宋_GB2312" w:hAnsi="仿宋_GB2312" w:cs="仿宋_GB2312" w:eastAsia="仿宋_GB2312"/>
                      <w:sz w:val="18"/>
                      <w:color w:val="000000"/>
                    </w:rPr>
                    <w:t>时设施、扬尘污染治理)</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环境保护(含工程排污费)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临时设施</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扬尘污染治理费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施工影响场地周边地上、地下设施及建筑物安全的临时</w:t>
                  </w:r>
                  <w:r>
                    <w:br/>
                  </w:r>
                  <w:r>
                    <w:rPr>
                      <w:rFonts w:ascii="仿宋_GB2312" w:hAnsi="仿宋_GB2312" w:cs="仿宋_GB2312" w:eastAsia="仿宋_GB2312"/>
                      <w:sz w:val="18"/>
                      <w:color w:val="000000"/>
                    </w:rPr>
                    <w:t>保护设施</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市政工程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围堰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筑岛</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便道</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便桥</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洞内施工的通风、供水、供气、供电、照明及通讯设施</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驳岸块石清理</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地下管线交叉处理</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行车、行人干扰增加</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轨道交通工程路桥、市政基础设施施工监测、监控、保护</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混凝土、钢筋混凝土模板及支架</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7"/>
                  <w:gridSpan w:val="11"/>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6"/>
                      <w:color w:val="000000"/>
                    </w:rPr>
                    <w:t>注：安全文明施工措施费为不可竞争费用，应按规定在规费、税金项目清单计价表计算。</w:t>
                  </w:r>
                </w:p>
              </w:tc>
            </w:tr>
            <w:tr>
              <w:tc>
                <w:tcPr>
                  <w:tcW w:type="dxa" w:w="2547"/>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w:t>
                  </w:r>
                </w:p>
              </w:tc>
            </w:tr>
            <w:tr>
              <w:tc>
                <w:tcPr>
                  <w:tcW w:type="dxa" w:w="823"/>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2025年富平县美原镇团结村道路硬化项目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专业：市政土建</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88"/>
                  <w:gridSpan w:val="9"/>
                  <w:tcBorders>
                    <w:top w:val="none" w:color="000000" w:sz="4"/>
                    <w:left w:val="none" w:color="000000" w:sz="4"/>
                    <w:bottom w:val="single" w:color="FFFFFF" w:sz="4"/>
                    <w:right w:val="single" w:color="FFFFFF" w:sz="4"/>
                  </w:tcBorders>
                  <w:tcMar>
                    <w:top w:type="dxa" w:w="15"/>
                    <w:left w:type="dxa" w:w="15"/>
                    <w:right w:type="dxa" w:w="15"/>
                  </w:tcMar>
                  <w:vAlign w:val="top"/>
                </w:tcPr>
                <w:p/>
              </w:tc>
              <w:tc>
                <w:tcPr>
                  <w:tcW w:type="dxa" w:w="759"/>
                  <w:gridSpan w:val="2"/>
                  <w:tcBorders>
                    <w:top w:val="none" w:color="000000" w:sz="4"/>
                    <w:left w:val="single" w:color="FFFFFF" w:sz="4"/>
                    <w:bottom w:val="single" w:color="FFFFFF" w:sz="4"/>
                    <w:right w:val="single" w:color="FFFFFF" w:sz="4"/>
                  </w:tcBorders>
                  <w:tcMar>
                    <w:top w:type="dxa" w:w="15"/>
                    <w:left w:type="dxa" w:w="15"/>
                    <w:right w:type="dxa" w:w="15"/>
                  </w:tcMar>
                  <w:vAlign w:val="top"/>
                </w:tcPr>
                <w:p/>
              </w:tc>
            </w:tr>
            <w:tr>
              <w:tc>
                <w:tcPr>
                  <w:tcW w:type="dxa" w:w="2547"/>
                  <w:gridSpan w:val="11"/>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w:t>
                  </w:r>
                </w:p>
              </w:tc>
            </w:tr>
            <w:tr>
              <w:tc>
                <w:tcPr>
                  <w:tcW w:type="dxa" w:w="823"/>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2025年富平县美原镇团结村道路硬化项目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专业：市政土建</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   量</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税金</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88"/>
                  <w:gridSpan w:val="9"/>
                  <w:tcBorders>
                    <w:top w:val="none" w:color="000000" w:sz="4"/>
                    <w:left w:val="none" w:color="000000" w:sz="4"/>
                    <w:bottom w:val="single" w:color="FFFFFF" w:sz="4"/>
                    <w:right w:val="single" w:color="FFFFFF" w:sz="4"/>
                  </w:tcBorders>
                  <w:tcMar>
                    <w:top w:type="dxa" w:w="15"/>
                    <w:left w:type="dxa" w:w="15"/>
                    <w:right w:type="dxa" w:w="15"/>
                  </w:tcMar>
                  <w:vAlign w:val="top"/>
                </w:tcPr>
                <w:p/>
              </w:tc>
              <w:tc>
                <w:tcPr>
                  <w:tcW w:type="dxa" w:w="759"/>
                  <w:gridSpan w:val="2"/>
                  <w:tcBorders>
                    <w:top w:val="none" w:color="000000" w:sz="4"/>
                    <w:left w:val="single" w:color="FFFFFF" w:sz="4"/>
                    <w:bottom w:val="single" w:color="FFFFFF" w:sz="4"/>
                    <w:right w:val="single" w:color="FFFFFF" w:sz="4"/>
                  </w:tcBorders>
                  <w:tcMar>
                    <w:top w:type="dxa" w:w="15"/>
                    <w:left w:type="dxa" w:w="15"/>
                    <w:right w:type="dxa" w:w="15"/>
                  </w:tcMar>
                  <w:vAlign w:val="top"/>
                </w:tcPr>
                <w:p/>
              </w:tc>
            </w:tr>
            <w:tr>
              <w:tc>
                <w:tcPr>
                  <w:tcW w:type="dxa" w:w="2547"/>
                  <w:gridSpan w:val="11"/>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暂列金额明细表</w:t>
                  </w:r>
                </w:p>
              </w:tc>
            </w:tr>
            <w:tr>
              <w:tc>
                <w:tcPr>
                  <w:tcW w:type="dxa" w:w="823"/>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2025年富平县美原镇团结村道路硬化项目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专业：市政土建</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暂定金额（元）</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88"/>
                  <w:gridSpan w:val="9"/>
                  <w:tcBorders>
                    <w:top w:val="none" w:color="000000" w:sz="4"/>
                    <w:left w:val="none" w:color="000000" w:sz="4"/>
                    <w:bottom w:val="single" w:color="FFFFFF" w:sz="4"/>
                    <w:right w:val="single" w:color="FFFFFF" w:sz="4"/>
                  </w:tcBorders>
                  <w:tcMar>
                    <w:top w:type="dxa" w:w="15"/>
                    <w:left w:type="dxa" w:w="15"/>
                    <w:right w:type="dxa" w:w="15"/>
                  </w:tcMar>
                  <w:vAlign w:val="top"/>
                </w:tcPr>
                <w:p/>
              </w:tc>
              <w:tc>
                <w:tcPr>
                  <w:tcW w:type="dxa" w:w="759"/>
                  <w:gridSpan w:val="2"/>
                  <w:tcBorders>
                    <w:top w:val="none" w:color="000000" w:sz="4"/>
                    <w:left w:val="single" w:color="FFFFFF" w:sz="4"/>
                    <w:bottom w:val="single" w:color="FFFFFF" w:sz="4"/>
                    <w:right w:val="single" w:color="FFFFFF" w:sz="4"/>
                  </w:tcBorders>
                  <w:tcMar>
                    <w:top w:type="dxa" w:w="15"/>
                    <w:left w:type="dxa" w:w="15"/>
                    <w:right w:type="dxa" w:w="15"/>
                  </w:tcMar>
                  <w:vAlign w:val="top"/>
                </w:tcPr>
                <w:p/>
              </w:tc>
            </w:tr>
            <w:tr>
              <w:tc>
                <w:tcPr>
                  <w:tcW w:type="dxa" w:w="2547"/>
                  <w:gridSpan w:val="11"/>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专业工程暂估价明细表</w:t>
                  </w:r>
                </w:p>
              </w:tc>
            </w:tr>
            <w:tr>
              <w:tc>
                <w:tcPr>
                  <w:tcW w:type="dxa" w:w="823"/>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2025年富平县美原镇团结村道路硬化项目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专业：市政土建</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暂估单价（元）</w:t>
                  </w: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30日历天(计划开、竣工日期以施工合同签订时间为准)；2、付款方式：施工合同签订后七日内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供应商资格要求.docx 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须具备建筑工程或市政公用工程施工总承包三级及以上资质</w:t>
            </w:r>
          </w:p>
        </w:tc>
        <w:tc>
          <w:tcPr>
            <w:tcW w:type="dxa" w:w="3322"/>
          </w:tcPr>
          <w:p>
            <w:pPr>
              <w:pStyle w:val="null3"/>
            </w:pPr>
            <w:r>
              <w:rPr>
                <w:rFonts w:ascii="仿宋_GB2312" w:hAnsi="仿宋_GB2312" w:cs="仿宋_GB2312" w:eastAsia="仿宋_GB2312"/>
              </w:rPr>
              <w:t>须具备建筑工程或市政公用工程施工总承包三级及以上资质；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须具有建设行政主管部门核发有效的安全生产许可证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拟派项目经理须具备建筑工程或市政公用工程注册建造师二级及以上资格和有效的安全生产考核合格证书，须提供项目经理无在建工程的相关证明材料或承诺书</w:t>
            </w:r>
          </w:p>
        </w:tc>
        <w:tc>
          <w:tcPr>
            <w:tcW w:type="dxa" w:w="3322"/>
          </w:tcPr>
          <w:p>
            <w:pPr>
              <w:pStyle w:val="null3"/>
            </w:pPr>
            <w:r>
              <w:rPr>
                <w:rFonts w:ascii="仿宋_GB2312" w:hAnsi="仿宋_GB2312" w:cs="仿宋_GB2312" w:eastAsia="仿宋_GB2312"/>
              </w:rPr>
              <w:t>拟派项目经理须具备建筑工程或市政公用工程注册建造师二级及以上资格和有效的安全生产考核合格证书，须提供项目经理无在建工程的相关证明材料或承诺书；</w:t>
            </w:r>
          </w:p>
        </w:tc>
        <w:tc>
          <w:tcPr>
            <w:tcW w:type="dxa" w:w="1661"/>
          </w:tcPr>
          <w:p>
            <w:pPr>
              <w:pStyle w:val="null3"/>
            </w:pPr>
            <w:r>
              <w:rPr>
                <w:rFonts w:ascii="仿宋_GB2312" w:hAnsi="仿宋_GB2312" w:cs="仿宋_GB2312" w:eastAsia="仿宋_GB2312"/>
              </w:rPr>
              <w:t>项目组织机构.docx 供应商资格要求.docx 项目管理机构组成表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须提供依法缴纳税收的良好记录（提供递交磋商响应文件截止时间前六个月内任意一个月份的缴纳凭据复印件并加盖单位公章。依法免税或开标前一年内零申报的供应商应提供相关证明文件）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须提供依法缴纳税收的良好记录（提供递交磋商响应文件截止时间前六个月内任意一个月份的缴纳凭据复印件并加盖单位公章。依法免税或开标前一年内零申报的供应商应提供相关证明文件）；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须提供依法缴纳社会保障资金的良好记录（提供递交磋商响应文件截止时间前六个月内任意一个月份的缴纳凭据复印件并加盖单位公章。依法不需要缴纳社会保障资金的供应商应提供相关证明文件）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须提供依法缴纳社会保障资金的良好记录（提供递交磋商响应文件截止时间前六个月内任意一个月份的缴纳凭据复印件并加盖单位公章。依法不需要缴纳社会保障资金的供应商应提供相关证明文件）；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供应商资格要求.docx 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 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 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 注：1.磋商报价大于最高限价的，为无效报价，应作为无效标处理。 2.政策性价格优惠折扣规定详见评审办法第三条第6点。</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