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版本号：HRPD-ZFCG-2025-01620250609001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2025年富平县梅家坪镇新安村、五一村巷道硬化及排水项目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HRPD-ZFCG-2025-016</w:t>
      </w:r>
      <w:r>
        <w:br/>
      </w:r>
      <w:r>
        <w:br/>
      </w:r>
      <w:r>
        <w:br/>
      </w:r>
    </w:p>
    <w:p>
      <w:pPr>
        <w:pStyle w:val="null3"/>
        <w:jc w:val="center"/>
        <w:outlineLvl w:val="2"/>
      </w:pPr>
      <w:r>
        <w:rPr>
          <w:rFonts w:ascii="仿宋_GB2312" w:hAnsi="仿宋_GB2312" w:cs="仿宋_GB2312" w:eastAsia="仿宋_GB2312"/>
          <w:sz w:val="28"/>
          <w:b/>
        </w:rPr>
        <w:t>富平县梅家坪镇人民政府（本级）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富平县梅家坪镇人民政府（本级）</w:t>
      </w:r>
      <w:r>
        <w:rPr>
          <w:rFonts w:ascii="仿宋_GB2312" w:hAnsi="仿宋_GB2312" w:cs="仿宋_GB2312" w:eastAsia="仿宋_GB2312"/>
        </w:rPr>
        <w:t>委托，拟对</w:t>
      </w:r>
      <w:r>
        <w:rPr>
          <w:rFonts w:ascii="仿宋_GB2312" w:hAnsi="仿宋_GB2312" w:cs="仿宋_GB2312" w:eastAsia="仿宋_GB2312"/>
        </w:rPr>
        <w:t>2025年富平县梅家坪镇新安村、五一村巷道硬化及排水项目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2025年富平县梅家坪镇新安村、五一村巷道硬化及排水项目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新安村混凝土巷道硬化长1000m(含破除重修200m)，宽3.5m，厚度18cm，3500㎡，巷道暗排1000m;雨水箅子20个，检查井14个。五一村混凝土巷道硬化1750㎡，长500m，宽3.5m厚度18cm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采购包1（2025年富平县梅家坪镇新安村、五一村巷道硬化及排水项目）：属于专门面向中小企业采购。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供应商须具备建筑工程施工总承包三级及以上资质或市政工程施工总承包三级及以上资质；并提供具有建设行政主管部门核发有效的安全生产许可证；供应商需在项目电子化交易系统中按要求上传相应证明文件并进行电子签章。</w:t>
      </w:r>
    </w:p>
    <w:p>
      <w:pPr>
        <w:pStyle w:val="null3"/>
      </w:pPr>
      <w:r>
        <w:rPr>
          <w:rFonts w:ascii="仿宋_GB2312" w:hAnsi="仿宋_GB2312" w:cs="仿宋_GB2312" w:eastAsia="仿宋_GB2312"/>
        </w:rPr>
        <w:t>7、项目经理：项目经理须具备建筑工程注册建造师二级及以上资格或市政专业二级及以上（含二级）注册建造师执业资格和有效的安全生产考核证书（可提供证书复印件或有可识别的二维码证书复印件并加盖公章），且无在建工程（须提供无在建工程的相关证明材料或承诺书）；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信用信息：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)政府采购严重违法失信行为记录名单中被财政部门禁止参加政府采购活动的供应商:供应商需在项日电子化交易系统中按要求上传相应证明文件并进行电子签章。</w:t>
      </w:r>
    </w:p>
    <w:p>
      <w:pPr>
        <w:pStyle w:val="null3"/>
      </w:pPr>
      <w:r>
        <w:rPr>
          <w:rFonts w:ascii="仿宋_GB2312" w:hAnsi="仿宋_GB2312" w:cs="仿宋_GB2312" w:eastAsia="仿宋_GB2312"/>
        </w:rPr>
        <w:t>10、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11、磋商保证金：提供磋商保证金交纳凭证；供应商需在项目电子化交易系统中按要求上传相应证明文件并进行电子签章。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12、非联合体磋商：非联合体磋商声明;供应商需在项目电子化交易系统中按要求上传相应证明文件并进行电子签章。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富平县梅家坪镇人民政府（本级）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富平县梅家坪镇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富平县梅家坪镇人民政府（本级）经办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17868558617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 知（计价格[2002]1980 号）计算收取，不计入工程造价，按照《国家发展改革委办公厅关于招标代理服务收费有关问题的通知》（发改办价格〔2003〕 857 号）规定向成交供应商收取。造价咨询服务费按（陕价行发【2014】88 号文件）计算收取，不计入工程造价，由成交供应商支付。若本次招标失败（非代理机构原因），招标代理服务费和造价咨询服务费由中标人支付。具体金额详见中标（成交）结果公告，在领取中标通知书时向采购代理机构一 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富平县梅家坪镇人民政府（本级）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富平县梅家坪镇人民政府（本级）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富平县梅家坪镇人民政府（本级）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联系人：井工</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1,018,000.00</w:t>
      </w:r>
    </w:p>
    <w:p>
      <w:pPr>
        <w:pStyle w:val="null3"/>
      </w:pPr>
      <w:r>
        <w:rPr>
          <w:rFonts w:ascii="仿宋_GB2312" w:hAnsi="仿宋_GB2312" w:cs="仿宋_GB2312" w:eastAsia="仿宋_GB2312"/>
        </w:rPr>
        <w:t>采购包最高限价（元）: 1,015,658.31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2025年富平县梅家坪镇新安村、五一村巷道硬化及排水项目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1,018,000.00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标的名称：2025年富平县梅家坪镇新安村、五一村巷道硬化及排水项目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w:t>
            </w:r>
            <w:r>
              <w:rPr>
                <w:rFonts w:ascii="仿宋_GB2312" w:hAnsi="仿宋_GB2312" w:cs="仿宋_GB2312" w:eastAsia="仿宋_GB2312"/>
                <w:sz w:val="24"/>
                <w:b/>
                <w:color w:val="000000"/>
              </w:rPr>
              <w:t>概况</w:t>
            </w:r>
          </w:p>
          <w:p>
            <w:pPr>
              <w:pStyle w:val="null3"/>
              <w:spacing w:before="75"/>
              <w:ind w:right="30"/>
              <w:jc w:val="both"/>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新安村混凝土巷道硬化长</w:t>
            </w:r>
            <w:r>
              <w:rPr>
                <w:rFonts w:ascii="仿宋_GB2312" w:hAnsi="仿宋_GB2312" w:cs="仿宋_GB2312" w:eastAsia="仿宋_GB2312"/>
                <w:sz w:val="24"/>
                <w:color w:val="000000"/>
              </w:rPr>
              <w:t>1000m(含破除重修200m)，宽3.5m，厚度18cm，3500㎡，巷道暗排1000m;雨水箅子20个，检查井14个。五一村混凝土巷道硬化1750㎡，长500m，宽3.5m厚度18cm</w:t>
            </w:r>
            <w:r>
              <w:rPr>
                <w:rFonts w:ascii="仿宋_GB2312" w:hAnsi="仿宋_GB2312" w:cs="仿宋_GB2312" w:eastAsia="仿宋_GB2312"/>
                <w:sz w:val="24"/>
                <w:color w:val="000000"/>
              </w:rPr>
              <w:t>等。</w:t>
            </w:r>
          </w:p>
          <w:p>
            <w:pPr>
              <w:pStyle w:val="null3"/>
              <w:spacing w:before="75"/>
              <w:ind w:right="30"/>
            </w:pPr>
            <w:r>
              <w:rPr>
                <w:rFonts w:ascii="仿宋_GB2312" w:hAnsi="仿宋_GB2312" w:cs="仿宋_GB2312" w:eastAsia="仿宋_GB2312"/>
                <w:sz w:val="24"/>
                <w:b/>
                <w:color w:val="000000"/>
              </w:rPr>
              <w:t>二、实施地点</w:t>
            </w:r>
            <w:r>
              <w:rPr>
                <w:rFonts w:ascii="仿宋_GB2312" w:hAnsi="仿宋_GB2312" w:cs="仿宋_GB2312" w:eastAsia="仿宋_GB2312"/>
                <w:sz w:val="24"/>
                <w:color w:val="000000"/>
              </w:rPr>
              <w:t>：采购人指定地点</w:t>
            </w:r>
          </w:p>
          <w:p>
            <w:pPr>
              <w:pStyle w:val="null3"/>
              <w:spacing w:before="75"/>
              <w:ind w:right="30"/>
            </w:pPr>
            <w:r>
              <w:rPr>
                <w:rFonts w:ascii="仿宋_GB2312" w:hAnsi="仿宋_GB2312" w:cs="仿宋_GB2312" w:eastAsia="仿宋_GB2312"/>
                <w:sz w:val="24"/>
                <w:b/>
                <w:color w:val="000000"/>
              </w:rPr>
              <w:t>三、项目要求：</w:t>
            </w:r>
          </w:p>
          <w:p>
            <w:pPr>
              <w:pStyle w:val="null3"/>
            </w:pPr>
            <w:r>
              <w:rPr>
                <w:rFonts w:ascii="仿宋_GB2312" w:hAnsi="仿宋_GB2312" w:cs="仿宋_GB2312" w:eastAsia="仿宋_GB2312"/>
                <w:sz w:val="24"/>
              </w:rPr>
              <w:t>1.工程质量目标:达到国家现行施工验收规范“合格”标准。</w:t>
            </w:r>
          </w:p>
          <w:p>
            <w:pPr>
              <w:pStyle w:val="null3"/>
            </w:pPr>
            <w:r>
              <w:rPr>
                <w:rFonts w:ascii="仿宋_GB2312" w:hAnsi="仿宋_GB2312" w:cs="仿宋_GB2312" w:eastAsia="仿宋_GB2312"/>
                <w:sz w:val="24"/>
              </w:rPr>
              <w:t>2.文明施工:安全文明施工工地。</w:t>
            </w:r>
          </w:p>
          <w:p>
            <w:pPr>
              <w:pStyle w:val="null3"/>
            </w:pPr>
            <w:r>
              <w:rPr>
                <w:rFonts w:ascii="仿宋_GB2312" w:hAnsi="仿宋_GB2312" w:cs="仿宋_GB2312" w:eastAsia="仿宋_GB2312"/>
                <w:sz w:val="24"/>
                <w:b/>
              </w:rPr>
              <w:t>四、工期及质保期：</w:t>
            </w:r>
          </w:p>
          <w:p>
            <w:pPr>
              <w:pStyle w:val="null3"/>
            </w:pPr>
            <w:r>
              <w:rPr>
                <w:rFonts w:ascii="仿宋_GB2312" w:hAnsi="仿宋_GB2312" w:cs="仿宋_GB2312" w:eastAsia="仿宋_GB2312"/>
                <w:sz w:val="24"/>
              </w:rPr>
              <w:t>工期：</w:t>
            </w:r>
            <w:r>
              <w:rPr>
                <w:rFonts w:ascii="仿宋_GB2312" w:hAnsi="仿宋_GB2312" w:cs="仿宋_GB2312" w:eastAsia="仿宋_GB2312"/>
                <w:sz w:val="24"/>
              </w:rPr>
              <w:t>60日历天（计划开、竣工日期以施工合同签订时间为准）。</w:t>
            </w:r>
          </w:p>
          <w:p>
            <w:pPr>
              <w:pStyle w:val="null3"/>
            </w:pPr>
            <w:r>
              <w:rPr>
                <w:rFonts w:ascii="仿宋_GB2312" w:hAnsi="仿宋_GB2312" w:cs="仿宋_GB2312" w:eastAsia="仿宋_GB2312"/>
                <w:sz w:val="24"/>
                <w:b/>
              </w:rPr>
              <w:t>五、安全要求</w:t>
            </w:r>
          </w:p>
          <w:p>
            <w:pPr>
              <w:pStyle w:val="null3"/>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b/>
              </w:rPr>
              <w:t>六、工程施工基本要求</w:t>
            </w:r>
          </w:p>
          <w:p>
            <w:pPr>
              <w:pStyle w:val="null3"/>
              <w:jc w:val="both"/>
            </w:pPr>
            <w:r>
              <w:rPr>
                <w:rFonts w:ascii="仿宋_GB2312" w:hAnsi="仿宋_GB2312" w:cs="仿宋_GB2312" w:eastAsia="仿宋_GB2312"/>
                <w:sz w:val="24"/>
                <w:color w:val="000000"/>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筑工程施工总承包三级及以上资质或市政工程施工总承包三级及以上资质；并提供具有建设行政主管部门核发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注册建造师二级及以上资格或市政专业二级及以上（含二级）注册建造师执业资格和有效的安全生产考核证书（可提供证书复印件或有可识别的二维码证书复印件并加盖公章），且无在建工程（须提供无在建工程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)政府采购严重违法失信行为记录名单中被财政部门禁止参加政府采购活动的供应商:供应商需在项日电子化交易系统中按要求上传相应证明文件并进行电子签章。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承诺书.docx 业绩证明文件.docx 资格证明文件.docx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报价一览表.docx 已标价工程量清单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报价一览表.docx 技术服务合同条款及其他商务要求应答表.docx 报价函 标的清单 业绩证明文件.docx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承诺书.docx 业绩证明文件.docx 资格证明文件.docx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承诺书.docx 业绩证明文件.docx 资格证明文件.docx 响应文件封面 残疾人福利性单位声明函 报价函 标的清单 响应函 监狱企业的证明文件 磋商保证金退还信息表.docx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确保本项目质量的技术组织措施，措施内容科学可行、有针对性且内容详细计5～9（含）分，措施内容较为可行、针对性不强、内容简单计0～4（含）分，本项满分9分；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确保安全生产和文明施工的技术组织措施，措施内容科学可行、有针对性且内容详细计6～10（含）分，措施内容较为可行、针对性不强、内容简单计0～5（含）分，本项满分10分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确保文明施工及环境保护的技术组织措施，措施内容科学可行、有针对性且内容详细计5～8（含）分，措施内容较为可行、针对性不强、内容简单计0～4（含）分，本项满分8分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确保工期的技术组织措施，措施内容科学可行、有针对性且内容详细计5～8（含）分，措施内容较为可行、针对性不强、内容简单计0～4（含）分，本项满分8分；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施工机械及工器具的配备情况，机械、设备安排合理、完整计4～7（含）分，机械、设备安排简单计0～3（含）分，本项满分7分；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 类似 业绩</w:t>
            </w:r>
          </w:p>
        </w:tc>
        <w:tc>
          <w:tcPr>
            <w:tcW w:type="dxa" w:w="2492"/>
          </w:tcPr>
          <w:p>
            <w:pPr>
              <w:pStyle w:val="null3"/>
            </w:pPr>
            <w:r>
              <w:rPr>
                <w:rFonts w:ascii="仿宋_GB2312" w:hAnsi="仿宋_GB2312" w:cs="仿宋_GB2312" w:eastAsia="仿宋_GB2312"/>
              </w:rPr>
              <w:t>近三年完成的类似业绩一项得1分，最多得3分（提供2021年1月1日至今类似工程；投标文件中须附类似工程业绩中标通知书或合同协议或竣工验收证明材料复印件或扫描件，并加盖公章）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详见附件：磋商保证金退还信息表.docx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